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CC532">
      <w:pPr>
        <w:spacing w:line="360" w:lineRule="auto"/>
        <w:ind w:firstLine="562" w:firstLineChars="200"/>
        <w:rPr>
          <w:rFonts w:hint="default" w:ascii="Times New Roman" w:hAnsi="Times New Roman" w:eastAsia="仿宋_GB2312" w:cs="Times New Roman"/>
          <w:sz w:val="24"/>
          <w:szCs w:val="24"/>
        </w:rPr>
      </w:pPr>
      <w:r>
        <w:rPr>
          <w:rFonts w:hint="eastAsia" w:ascii="Times New Roman" w:hAnsi="Times New Roman" w:eastAsia="仿宋_GB2312" w:cs="Times New Roman"/>
          <w:b/>
          <w:sz w:val="28"/>
          <w:szCs w:val="24"/>
          <w:lang w:eastAsia="zh-CN"/>
        </w:rPr>
        <w:t>附件：</w:t>
      </w:r>
    </w:p>
    <w:tbl>
      <w:tblPr>
        <w:tblStyle w:val="6"/>
        <w:tblW w:w="0" w:type="auto"/>
        <w:tblInd w:w="0" w:type="dxa"/>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Layout w:type="autofit"/>
        <w:tblCellMar>
          <w:top w:w="0" w:type="dxa"/>
          <w:left w:w="108" w:type="dxa"/>
          <w:bottom w:w="0" w:type="dxa"/>
          <w:right w:w="108" w:type="dxa"/>
        </w:tblCellMar>
      </w:tblPr>
      <w:tblGrid>
        <w:gridCol w:w="1133"/>
        <w:gridCol w:w="1727"/>
        <w:gridCol w:w="1725"/>
        <w:gridCol w:w="2183"/>
        <w:gridCol w:w="1754"/>
      </w:tblGrid>
      <w:tr w14:paraId="60F13061">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8522" w:type="dxa"/>
            <w:gridSpan w:val="5"/>
            <w:tcBorders>
              <w:tl2br w:val="nil"/>
              <w:tr2bl w:val="nil"/>
            </w:tcBorders>
            <w:vAlign w:val="center"/>
          </w:tcPr>
          <w:p w14:paraId="14F38DAA">
            <w:pPr>
              <w:spacing w:line="360" w:lineRule="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提名项目一</w:t>
            </w:r>
          </w:p>
        </w:tc>
      </w:tr>
      <w:tr w14:paraId="69AC2BF7">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71F55F42">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p w14:paraId="4E4CEDF6">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7373" w:type="dxa"/>
            <w:gridSpan w:val="4"/>
            <w:tcBorders>
              <w:tl2br w:val="nil"/>
              <w:tr2bl w:val="nil"/>
            </w:tcBorders>
            <w:vAlign w:val="center"/>
          </w:tcPr>
          <w:p w14:paraId="45DB6F80">
            <w:pPr>
              <w:spacing w:line="360" w:lineRule="auto"/>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咖啡鲜果加工废水处理工艺及装置</w:t>
            </w:r>
          </w:p>
        </w:tc>
      </w:tr>
      <w:tr w14:paraId="0D063CF8">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65B9B7DF">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w:t>
            </w:r>
          </w:p>
          <w:p w14:paraId="42E229D8">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7373" w:type="dxa"/>
            <w:gridSpan w:val="4"/>
            <w:tcBorders>
              <w:tl2br w:val="nil"/>
              <w:tr2bl w:val="nil"/>
            </w:tcBorders>
            <w:vAlign w:val="center"/>
          </w:tcPr>
          <w:p w14:paraId="5D58D7AE">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云南坤兑环保科技有限公司</w:t>
            </w:r>
            <w:r>
              <w:rPr>
                <w:rFonts w:hint="eastAsia" w:ascii="Times New Roman" w:hAnsi="Times New Roman" w:eastAsia="仿宋_GB2312" w:cs="Times New Roman"/>
                <w:sz w:val="24"/>
                <w:szCs w:val="24"/>
                <w:lang w:eastAsia="zh-CN"/>
              </w:rPr>
              <w:t>、普洱致诚环保设备有限公司、云南开发规划设计院有限公司</w:t>
            </w:r>
          </w:p>
        </w:tc>
      </w:tr>
      <w:tr w14:paraId="3953E61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5EBFCD7A">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完成人</w:t>
            </w:r>
          </w:p>
        </w:tc>
        <w:tc>
          <w:tcPr>
            <w:tcW w:w="7373" w:type="dxa"/>
            <w:gridSpan w:val="4"/>
            <w:tcBorders>
              <w:tl2br w:val="nil"/>
              <w:tr2bl w:val="nil"/>
            </w:tcBorders>
            <w:vAlign w:val="center"/>
          </w:tcPr>
          <w:p w14:paraId="5E75EA32">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曾郴林</w:t>
            </w:r>
            <w:r>
              <w:rPr>
                <w:rFonts w:hint="eastAsia" w:ascii="Times New Roman" w:hAnsi="Times New Roman" w:eastAsia="仿宋_GB2312" w:cs="Times New Roman"/>
                <w:sz w:val="24"/>
                <w:szCs w:val="24"/>
                <w:lang w:eastAsia="zh-CN"/>
              </w:rPr>
              <w:t>、郑辉林、刘情生、普世祥、</w:t>
            </w:r>
            <w:r>
              <w:rPr>
                <w:rFonts w:hint="eastAsia" w:ascii="Times New Roman" w:hAnsi="Times New Roman" w:eastAsia="仿宋_GB2312" w:cs="Times New Roman"/>
                <w:sz w:val="24"/>
                <w:szCs w:val="24"/>
                <w:lang w:val="en-US" w:eastAsia="zh-CN"/>
              </w:rPr>
              <w:t>孙权、李江燕、</w:t>
            </w:r>
            <w:r>
              <w:rPr>
                <w:rFonts w:hint="eastAsia" w:ascii="Times New Roman" w:hAnsi="Times New Roman" w:eastAsia="仿宋_GB2312" w:cs="Times New Roman"/>
                <w:sz w:val="24"/>
                <w:szCs w:val="24"/>
                <w:lang w:eastAsia="zh-CN"/>
              </w:rPr>
              <w:t>邱莉、张勇、白荣金、杨文祥、</w:t>
            </w:r>
            <w:r>
              <w:rPr>
                <w:rFonts w:hint="eastAsia" w:ascii="Times New Roman" w:hAnsi="Times New Roman" w:eastAsia="仿宋_GB2312" w:cs="Times New Roman"/>
                <w:sz w:val="24"/>
                <w:szCs w:val="24"/>
                <w:lang w:val="en-US" w:eastAsia="zh-CN"/>
              </w:rPr>
              <w:t>杨凤东</w:t>
            </w:r>
          </w:p>
        </w:tc>
      </w:tr>
      <w:tr w14:paraId="26E0D3FE">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58" w:hRule="atLeast"/>
        </w:trPr>
        <w:tc>
          <w:tcPr>
            <w:tcW w:w="1149" w:type="dxa"/>
            <w:tcBorders>
              <w:tl2br w:val="nil"/>
              <w:tr2bl w:val="nil"/>
            </w:tcBorders>
            <w:vAlign w:val="center"/>
          </w:tcPr>
          <w:p w14:paraId="6ABA3168">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p w14:paraId="7652F278">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简介</w:t>
            </w:r>
          </w:p>
        </w:tc>
        <w:tc>
          <w:tcPr>
            <w:tcW w:w="7373" w:type="dxa"/>
            <w:gridSpan w:val="4"/>
            <w:tcBorders>
              <w:tl2br w:val="nil"/>
              <w:tr2bl w:val="nil"/>
            </w:tcBorders>
            <w:vAlign w:val="center"/>
          </w:tcPr>
          <w:p w14:paraId="15051A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咖啡鲜果</w:t>
            </w:r>
            <w:r>
              <w:rPr>
                <w:rFonts w:hint="default" w:ascii="Times New Roman" w:hAnsi="Times New Roman" w:eastAsia="仿宋_GB2312" w:cs="Times New Roman"/>
                <w:sz w:val="24"/>
                <w:szCs w:val="24"/>
              </w:rPr>
              <w:t>初加工过程中产生大量的废水、废渣污染。其中，废水主要来自机械脱皮、脱胶及浸泡清洗工序，大量果汁、果胶及果肉混合，使得咖啡加工废水成为高浓度有机废水，该废水具有有机污染物浓度高，色度大，酸度大，极</w:t>
            </w:r>
            <w:bookmarkStart w:id="0" w:name="_GoBack"/>
            <w:bookmarkEnd w:id="0"/>
            <w:r>
              <w:rPr>
                <w:rFonts w:hint="default" w:ascii="Times New Roman" w:hAnsi="Times New Roman" w:eastAsia="仿宋_GB2312" w:cs="Times New Roman"/>
                <w:sz w:val="24"/>
                <w:szCs w:val="24"/>
              </w:rPr>
              <w:t>易发酵，酸化发臭，难降解和难净化等难点，传统的加药沉淀和超滤、纳滤的技术存在运行成本高、二次污染、出水水质不达标、日处理量少等缺点</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本项目</w:t>
            </w:r>
            <w:r>
              <w:rPr>
                <w:rFonts w:hint="default" w:ascii="Times New Roman" w:hAnsi="Times New Roman" w:eastAsia="仿宋_GB2312" w:cs="Times New Roman"/>
                <w:sz w:val="24"/>
                <w:szCs w:val="24"/>
              </w:rPr>
              <w:t>研发</w:t>
            </w:r>
            <w:r>
              <w:rPr>
                <w:rFonts w:hint="eastAsia" w:ascii="Times New Roman" w:hAnsi="Times New Roman" w:eastAsia="仿宋_GB2312" w:cs="Times New Roman"/>
                <w:sz w:val="24"/>
                <w:szCs w:val="24"/>
                <w:lang w:val="en-US" w:eastAsia="zh-CN"/>
              </w:rPr>
              <w:t>了</w:t>
            </w:r>
            <w:r>
              <w:rPr>
                <w:rFonts w:hint="default" w:ascii="Times New Roman" w:hAnsi="Times New Roman" w:eastAsia="仿宋_GB2312" w:cs="Times New Roman"/>
                <w:sz w:val="24"/>
                <w:szCs w:val="24"/>
              </w:rPr>
              <w:t>全自控化，微生物降解技术</w:t>
            </w:r>
            <w:r>
              <w:rPr>
                <w:rFonts w:hint="eastAsia" w:ascii="Times New Roman" w:hAnsi="Times New Roman" w:eastAsia="仿宋_GB2312" w:cs="Times New Roman"/>
                <w:sz w:val="24"/>
                <w:szCs w:val="24"/>
                <w:lang w:val="en-US" w:eastAsia="zh-CN"/>
              </w:rPr>
              <w:t>耦合</w:t>
            </w:r>
            <w:r>
              <w:rPr>
                <w:rFonts w:hint="default" w:ascii="Times New Roman" w:hAnsi="Times New Roman" w:eastAsia="仿宋_GB2312" w:cs="Times New Roman"/>
                <w:sz w:val="24"/>
                <w:szCs w:val="24"/>
              </w:rPr>
              <w:t>微电解催化氧化技术</w:t>
            </w:r>
            <w:r>
              <w:rPr>
                <w:rFonts w:hint="eastAsia" w:ascii="Times New Roman" w:hAnsi="Times New Roman" w:eastAsia="仿宋_GB2312" w:cs="Times New Roman"/>
                <w:sz w:val="24"/>
                <w:szCs w:val="24"/>
                <w:lang w:val="en-US" w:eastAsia="zh-CN"/>
              </w:rPr>
              <w:t>+UV/O</w:t>
            </w:r>
            <w:r>
              <w:rPr>
                <w:rFonts w:hint="eastAsia" w:ascii="Times New Roman" w:hAnsi="Times New Roman" w:eastAsia="仿宋_GB2312" w:cs="Times New Roman"/>
                <w:sz w:val="24"/>
                <w:szCs w:val="24"/>
                <w:vertAlign w:val="subscript"/>
                <w:lang w:val="en-US" w:eastAsia="zh-CN"/>
              </w:rPr>
              <w:t>3</w:t>
            </w:r>
            <w:r>
              <w:rPr>
                <w:rFonts w:hint="eastAsia" w:ascii="Times New Roman" w:hAnsi="Times New Roman" w:eastAsia="仿宋_GB2312" w:cs="Times New Roman"/>
                <w:sz w:val="24"/>
                <w:szCs w:val="24"/>
                <w:lang w:val="en-US" w:eastAsia="zh-CN"/>
              </w:rPr>
              <w:t>的处理</w:t>
            </w:r>
            <w:r>
              <w:rPr>
                <w:rFonts w:hint="eastAsia" w:ascii="Times New Roman" w:hAnsi="Times New Roman" w:eastAsia="仿宋_GB2312" w:cs="Times New Roman"/>
                <w:sz w:val="24"/>
                <w:szCs w:val="24"/>
                <w:lang w:eastAsia="zh-CN"/>
              </w:rPr>
              <w:t>工艺及装置</w:t>
            </w:r>
            <w:r>
              <w:rPr>
                <w:rFonts w:hint="default" w:ascii="Times New Roman" w:hAnsi="Times New Roman" w:eastAsia="仿宋_GB2312" w:cs="Times New Roman"/>
                <w:sz w:val="24"/>
                <w:szCs w:val="24"/>
              </w:rPr>
              <w:t>，是咖啡初加工处理行业技术升级的关键。</w:t>
            </w:r>
          </w:p>
        </w:tc>
      </w:tr>
      <w:tr w14:paraId="5453A5FC">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9" w:hRule="atLeast"/>
        </w:trPr>
        <w:tc>
          <w:tcPr>
            <w:tcW w:w="1149" w:type="dxa"/>
            <w:vMerge w:val="restart"/>
            <w:tcBorders>
              <w:tl2br w:val="nil"/>
              <w:tr2bl w:val="nil"/>
            </w:tcBorders>
            <w:vAlign w:val="center"/>
          </w:tcPr>
          <w:p w14:paraId="1C4C5367">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知识</w:t>
            </w:r>
          </w:p>
          <w:p w14:paraId="11F3DC3B">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产权</w:t>
            </w:r>
          </w:p>
          <w:p w14:paraId="6E584E7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情况</w:t>
            </w:r>
          </w:p>
        </w:tc>
        <w:tc>
          <w:tcPr>
            <w:tcW w:w="1752" w:type="dxa"/>
            <w:vMerge w:val="restart"/>
            <w:tcBorders>
              <w:tl2br w:val="nil"/>
              <w:tr2bl w:val="nil"/>
            </w:tcBorders>
            <w:vAlign w:val="center"/>
          </w:tcPr>
          <w:p w14:paraId="2CA19B4C">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知识产权</w:t>
            </w:r>
          </w:p>
          <w:p w14:paraId="5270185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（标准）类别</w:t>
            </w:r>
          </w:p>
        </w:tc>
        <w:tc>
          <w:tcPr>
            <w:tcW w:w="1725" w:type="dxa"/>
            <w:vMerge w:val="restart"/>
            <w:tcBorders>
              <w:tl2br w:val="nil"/>
              <w:tr2bl w:val="nil"/>
            </w:tcBorders>
            <w:vAlign w:val="center"/>
          </w:tcPr>
          <w:p w14:paraId="6ED68EEC">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知识产权（标准）具体名称</w:t>
            </w:r>
          </w:p>
        </w:tc>
        <w:tc>
          <w:tcPr>
            <w:tcW w:w="2130" w:type="dxa"/>
            <w:vMerge w:val="restart"/>
            <w:tcBorders>
              <w:tl2br w:val="nil"/>
              <w:tr2bl w:val="nil"/>
            </w:tcBorders>
            <w:vAlign w:val="center"/>
          </w:tcPr>
          <w:p w14:paraId="7394B9F8">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授权号</w:t>
            </w:r>
          </w:p>
          <w:p w14:paraId="0D8B19C5">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（标准编号）</w:t>
            </w:r>
          </w:p>
        </w:tc>
        <w:tc>
          <w:tcPr>
            <w:tcW w:w="1766" w:type="dxa"/>
            <w:tcBorders>
              <w:tl2br w:val="nil"/>
              <w:tr2bl w:val="nil"/>
            </w:tcBorders>
            <w:vAlign w:val="center"/>
          </w:tcPr>
          <w:p w14:paraId="71DD081C">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证书编号</w:t>
            </w:r>
          </w:p>
        </w:tc>
      </w:tr>
      <w:tr w14:paraId="5FE3D211">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9" w:hRule="atLeast"/>
        </w:trPr>
        <w:tc>
          <w:tcPr>
            <w:tcW w:w="1149" w:type="dxa"/>
            <w:vMerge w:val="continue"/>
            <w:tcBorders>
              <w:tl2br w:val="nil"/>
              <w:tr2bl w:val="nil"/>
            </w:tcBorders>
            <w:vAlign w:val="center"/>
          </w:tcPr>
          <w:p w14:paraId="7CE029F1">
            <w:pPr>
              <w:spacing w:line="360" w:lineRule="auto"/>
              <w:jc w:val="center"/>
              <w:rPr>
                <w:rFonts w:hint="default" w:ascii="Times New Roman" w:hAnsi="Times New Roman" w:eastAsia="仿宋_GB2312" w:cs="Times New Roman"/>
                <w:sz w:val="24"/>
                <w:szCs w:val="24"/>
              </w:rPr>
            </w:pPr>
          </w:p>
        </w:tc>
        <w:tc>
          <w:tcPr>
            <w:tcW w:w="1752" w:type="dxa"/>
            <w:vMerge w:val="continue"/>
            <w:tcBorders>
              <w:tl2br w:val="nil"/>
              <w:tr2bl w:val="nil"/>
            </w:tcBorders>
            <w:vAlign w:val="center"/>
          </w:tcPr>
          <w:p w14:paraId="6C509DA4">
            <w:pPr>
              <w:spacing w:line="360" w:lineRule="auto"/>
              <w:jc w:val="center"/>
              <w:rPr>
                <w:rFonts w:hint="default" w:ascii="Times New Roman" w:hAnsi="Times New Roman" w:eastAsia="仿宋_GB2312" w:cs="Times New Roman"/>
                <w:b/>
                <w:bCs/>
                <w:sz w:val="24"/>
                <w:szCs w:val="24"/>
              </w:rPr>
            </w:pPr>
          </w:p>
        </w:tc>
        <w:tc>
          <w:tcPr>
            <w:tcW w:w="1725" w:type="dxa"/>
            <w:vMerge w:val="continue"/>
            <w:tcBorders>
              <w:tl2br w:val="nil"/>
              <w:tr2bl w:val="nil"/>
            </w:tcBorders>
            <w:vAlign w:val="center"/>
          </w:tcPr>
          <w:p w14:paraId="784345B3">
            <w:pPr>
              <w:spacing w:line="360" w:lineRule="auto"/>
              <w:jc w:val="center"/>
              <w:rPr>
                <w:rFonts w:hint="default" w:ascii="Times New Roman" w:hAnsi="Times New Roman" w:eastAsia="仿宋_GB2312" w:cs="Times New Roman"/>
                <w:b/>
                <w:bCs/>
                <w:sz w:val="24"/>
                <w:szCs w:val="24"/>
              </w:rPr>
            </w:pPr>
          </w:p>
        </w:tc>
        <w:tc>
          <w:tcPr>
            <w:tcW w:w="2130" w:type="dxa"/>
            <w:vMerge w:val="continue"/>
            <w:tcBorders>
              <w:tl2br w:val="nil"/>
              <w:tr2bl w:val="nil"/>
            </w:tcBorders>
            <w:vAlign w:val="center"/>
          </w:tcPr>
          <w:p w14:paraId="17B0BA6B">
            <w:pPr>
              <w:spacing w:line="360" w:lineRule="auto"/>
              <w:jc w:val="center"/>
              <w:rPr>
                <w:rFonts w:hint="default" w:ascii="Times New Roman" w:hAnsi="Times New Roman" w:eastAsia="仿宋_GB2312" w:cs="Times New Roman"/>
                <w:b/>
                <w:bCs/>
                <w:sz w:val="24"/>
                <w:szCs w:val="24"/>
              </w:rPr>
            </w:pPr>
          </w:p>
        </w:tc>
        <w:tc>
          <w:tcPr>
            <w:tcW w:w="1766" w:type="dxa"/>
            <w:tcBorders>
              <w:tl2br w:val="nil"/>
              <w:tr2bl w:val="nil"/>
            </w:tcBorders>
            <w:vAlign w:val="center"/>
          </w:tcPr>
          <w:p w14:paraId="12A5F10D">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（标准批准</w:t>
            </w:r>
          </w:p>
          <w:p w14:paraId="17640F92">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发布部门）</w:t>
            </w:r>
          </w:p>
        </w:tc>
      </w:tr>
      <w:tr w14:paraId="35DE3066">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8E44C72">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6B85107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39DAA02A">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一种高效大容量污水净化装置</w:t>
            </w:r>
          </w:p>
        </w:tc>
        <w:tc>
          <w:tcPr>
            <w:tcW w:w="2130" w:type="dxa"/>
            <w:tcBorders>
              <w:tl2br w:val="nil"/>
              <w:tr2bl w:val="nil"/>
            </w:tcBorders>
            <w:vAlign w:val="center"/>
          </w:tcPr>
          <w:p w14:paraId="74D3659E">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223280733 U</w:t>
            </w:r>
          </w:p>
        </w:tc>
        <w:tc>
          <w:tcPr>
            <w:tcW w:w="1766" w:type="dxa"/>
            <w:tcBorders>
              <w:tl2br w:val="nil"/>
              <w:tr2bl w:val="nil"/>
            </w:tcBorders>
            <w:vAlign w:val="center"/>
          </w:tcPr>
          <w:p w14:paraId="6174F9C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第23266651号</w:t>
            </w:r>
          </w:p>
        </w:tc>
      </w:tr>
      <w:tr w14:paraId="0E9F86D3">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C13C128">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5026AE5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6A2991DE">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一种工业废水</w:t>
            </w:r>
          </w:p>
          <w:p w14:paraId="05D42C65">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一步净化器</w:t>
            </w:r>
          </w:p>
        </w:tc>
        <w:tc>
          <w:tcPr>
            <w:tcW w:w="2130" w:type="dxa"/>
            <w:tcBorders>
              <w:tl2br w:val="nil"/>
              <w:tr2bl w:val="nil"/>
            </w:tcBorders>
            <w:vAlign w:val="center"/>
          </w:tcPr>
          <w:p w14:paraId="56CF5B9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222989884 U</w:t>
            </w:r>
          </w:p>
        </w:tc>
        <w:tc>
          <w:tcPr>
            <w:tcW w:w="1766" w:type="dxa"/>
            <w:tcBorders>
              <w:tl2br w:val="nil"/>
              <w:tr2bl w:val="nil"/>
            </w:tcBorders>
            <w:vAlign w:val="center"/>
          </w:tcPr>
          <w:p w14:paraId="142F848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第22974582号</w:t>
            </w:r>
          </w:p>
        </w:tc>
      </w:tr>
      <w:tr w14:paraId="06FBD4AF">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5D9D18B">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FC7D90D">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107C803A">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一种工业污水处理用混凝气浮罐</w:t>
            </w:r>
          </w:p>
        </w:tc>
        <w:tc>
          <w:tcPr>
            <w:tcW w:w="2130" w:type="dxa"/>
            <w:tcBorders>
              <w:tl2br w:val="nil"/>
              <w:tr2bl w:val="nil"/>
            </w:tcBorders>
            <w:vAlign w:val="center"/>
          </w:tcPr>
          <w:p w14:paraId="0FE6183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222989889 U</w:t>
            </w:r>
          </w:p>
        </w:tc>
        <w:tc>
          <w:tcPr>
            <w:tcW w:w="1766" w:type="dxa"/>
            <w:tcBorders>
              <w:tl2br w:val="nil"/>
              <w:tr2bl w:val="nil"/>
            </w:tcBorders>
            <w:vAlign w:val="center"/>
          </w:tcPr>
          <w:p w14:paraId="64102B1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第22969442号</w:t>
            </w:r>
          </w:p>
        </w:tc>
      </w:tr>
      <w:tr w14:paraId="6B72EEA5">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D5A63E5">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0D69D49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77B2FDD6">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一种光照式污水净化处理装置</w:t>
            </w:r>
          </w:p>
        </w:tc>
        <w:tc>
          <w:tcPr>
            <w:tcW w:w="2130" w:type="dxa"/>
            <w:tcBorders>
              <w:tl2br w:val="nil"/>
              <w:tr2bl w:val="nil"/>
            </w:tcBorders>
            <w:vAlign w:val="center"/>
          </w:tcPr>
          <w:p w14:paraId="0D2021C7">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223134179 U</w:t>
            </w:r>
          </w:p>
        </w:tc>
        <w:tc>
          <w:tcPr>
            <w:tcW w:w="1766" w:type="dxa"/>
            <w:tcBorders>
              <w:tl2br w:val="nil"/>
              <w:tr2bl w:val="nil"/>
            </w:tcBorders>
            <w:vAlign w:val="center"/>
          </w:tcPr>
          <w:p w14:paraId="645AD5E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第23121308号</w:t>
            </w:r>
          </w:p>
        </w:tc>
      </w:tr>
      <w:tr w14:paraId="0E797F5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009A40F2">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5381D06D">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17EC89D4">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一种微电荷高速非水溶性污染物分离器</w:t>
            </w:r>
          </w:p>
        </w:tc>
        <w:tc>
          <w:tcPr>
            <w:tcW w:w="2130" w:type="dxa"/>
            <w:tcBorders>
              <w:tl2br w:val="nil"/>
              <w:tr2bl w:val="nil"/>
            </w:tcBorders>
            <w:vAlign w:val="center"/>
          </w:tcPr>
          <w:p w14:paraId="119A587A">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223372821 U</w:t>
            </w:r>
          </w:p>
        </w:tc>
        <w:tc>
          <w:tcPr>
            <w:tcW w:w="1766" w:type="dxa"/>
            <w:tcBorders>
              <w:tl2br w:val="nil"/>
              <w:tr2bl w:val="nil"/>
            </w:tcBorders>
            <w:vAlign w:val="center"/>
          </w:tcPr>
          <w:p w14:paraId="4C632F0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rPr>
              <w:t>第23352600号</w:t>
            </w:r>
          </w:p>
        </w:tc>
      </w:tr>
      <w:tr w14:paraId="2D0186B0">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45F44906">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74F6E4D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3D93D602">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一种污水处理用泥水分离器</w:t>
            </w:r>
          </w:p>
        </w:tc>
        <w:tc>
          <w:tcPr>
            <w:tcW w:w="2130" w:type="dxa"/>
            <w:tcBorders>
              <w:tl2br w:val="nil"/>
              <w:tr2bl w:val="nil"/>
            </w:tcBorders>
            <w:vAlign w:val="center"/>
          </w:tcPr>
          <w:p w14:paraId="1245DB8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 222989997 U</w:t>
            </w:r>
          </w:p>
        </w:tc>
        <w:tc>
          <w:tcPr>
            <w:tcW w:w="1766" w:type="dxa"/>
            <w:tcBorders>
              <w:tl2br w:val="nil"/>
              <w:tr2bl w:val="nil"/>
            </w:tcBorders>
            <w:vAlign w:val="center"/>
          </w:tcPr>
          <w:p w14:paraId="07232F9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第22977274号</w:t>
            </w:r>
          </w:p>
        </w:tc>
      </w:tr>
      <w:tr w14:paraId="21122A61">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7D64CC62">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1BD9B4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13513A29">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一种污水取样检测装置</w:t>
            </w:r>
          </w:p>
        </w:tc>
        <w:tc>
          <w:tcPr>
            <w:tcW w:w="2130" w:type="dxa"/>
            <w:tcBorders>
              <w:tl2br w:val="nil"/>
              <w:tr2bl w:val="nil"/>
            </w:tcBorders>
            <w:vAlign w:val="center"/>
          </w:tcPr>
          <w:p w14:paraId="7697ADEE">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 223139082 U</w:t>
            </w:r>
          </w:p>
        </w:tc>
        <w:tc>
          <w:tcPr>
            <w:tcW w:w="1766" w:type="dxa"/>
            <w:tcBorders>
              <w:tl2br w:val="nil"/>
              <w:tr2bl w:val="nil"/>
            </w:tcBorders>
            <w:vAlign w:val="center"/>
          </w:tcPr>
          <w:p w14:paraId="4FD7771D">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第23121949号</w:t>
            </w:r>
          </w:p>
        </w:tc>
      </w:tr>
      <w:tr w14:paraId="538FE6A1">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183BC190">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6523B5A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实用新型专利</w:t>
            </w:r>
          </w:p>
        </w:tc>
        <w:tc>
          <w:tcPr>
            <w:tcW w:w="1725" w:type="dxa"/>
            <w:tcBorders>
              <w:tl2br w:val="nil"/>
              <w:tr2bl w:val="nil"/>
            </w:tcBorders>
            <w:vAlign w:val="center"/>
          </w:tcPr>
          <w:p w14:paraId="638741A7">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一种用于絮凝剂与污泥混合的管道混合器</w:t>
            </w:r>
          </w:p>
        </w:tc>
        <w:tc>
          <w:tcPr>
            <w:tcW w:w="2130" w:type="dxa"/>
            <w:tcBorders>
              <w:tl2br w:val="nil"/>
              <w:tr2bl w:val="nil"/>
            </w:tcBorders>
            <w:vAlign w:val="center"/>
          </w:tcPr>
          <w:p w14:paraId="3D8637D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 222984136 U</w:t>
            </w:r>
          </w:p>
        </w:tc>
        <w:tc>
          <w:tcPr>
            <w:tcW w:w="1766" w:type="dxa"/>
            <w:tcBorders>
              <w:tl2br w:val="nil"/>
              <w:tr2bl w:val="nil"/>
            </w:tcBorders>
            <w:vAlign w:val="center"/>
          </w:tcPr>
          <w:p w14:paraId="5736911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第22979579号</w:t>
            </w:r>
          </w:p>
        </w:tc>
      </w:tr>
      <w:tr w14:paraId="425CD03E">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8522" w:type="dxa"/>
            <w:gridSpan w:val="5"/>
            <w:tcBorders>
              <w:tl2br w:val="nil"/>
              <w:tr2bl w:val="nil"/>
            </w:tcBorders>
            <w:vAlign w:val="center"/>
          </w:tcPr>
          <w:p w14:paraId="30D7575E">
            <w:pPr>
              <w:spacing w:line="360" w:lineRule="auto"/>
              <w:rPr>
                <w:rFonts w:hint="eastAsia"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rPr>
              <w:t>提名项目</w:t>
            </w:r>
            <w:r>
              <w:rPr>
                <w:rFonts w:hint="eastAsia" w:ascii="Times New Roman" w:hAnsi="Times New Roman" w:eastAsia="仿宋_GB2312" w:cs="Times New Roman"/>
                <w:b/>
                <w:sz w:val="24"/>
                <w:szCs w:val="24"/>
                <w:lang w:eastAsia="zh-CN"/>
              </w:rPr>
              <w:t>二</w:t>
            </w:r>
          </w:p>
        </w:tc>
      </w:tr>
      <w:tr w14:paraId="0E045AC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44A3AC2A">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p w14:paraId="6BBCE25E">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7373" w:type="dxa"/>
            <w:gridSpan w:val="4"/>
            <w:tcBorders>
              <w:tl2br w:val="nil"/>
              <w:tr2bl w:val="nil"/>
            </w:tcBorders>
            <w:vAlign w:val="center"/>
          </w:tcPr>
          <w:p w14:paraId="5DD75685">
            <w:pPr>
              <w:spacing w:line="360" w:lineRule="auto"/>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含砷废物增值循环利用关键技术研发与应用</w:t>
            </w:r>
          </w:p>
        </w:tc>
      </w:tr>
      <w:tr w14:paraId="5290EE46">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3002714B">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w:t>
            </w:r>
          </w:p>
          <w:p w14:paraId="295D9E9D">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7373" w:type="dxa"/>
            <w:gridSpan w:val="4"/>
            <w:tcBorders>
              <w:tl2br w:val="nil"/>
              <w:tr2bl w:val="nil"/>
            </w:tcBorders>
            <w:vAlign w:val="center"/>
          </w:tcPr>
          <w:p w14:paraId="2694897E">
            <w:pPr>
              <w:spacing w:line="360" w:lineRule="auto"/>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昆明理工大学、红河砷业有限责任公司、博安环（云南）环境科技有限公司、云南省固体废物管理中心、个旧市环境科技产业有限公司、红河哈尼族彝族自治州生态环境应急中心、云南驰宏资源综合利用有限公司</w:t>
            </w:r>
          </w:p>
        </w:tc>
      </w:tr>
      <w:tr w14:paraId="009D7DAC">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089A8279">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完成人</w:t>
            </w:r>
          </w:p>
        </w:tc>
        <w:tc>
          <w:tcPr>
            <w:tcW w:w="7373" w:type="dxa"/>
            <w:gridSpan w:val="4"/>
            <w:tcBorders>
              <w:tl2br w:val="nil"/>
              <w:tr2bl w:val="nil"/>
            </w:tcBorders>
            <w:vAlign w:val="center"/>
          </w:tcPr>
          <w:p w14:paraId="79CCB535">
            <w:pPr>
              <w:spacing w:line="360" w:lineRule="auto"/>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瞿广飞、冯辉、许瑞、刘新阳、解若松、黄凯、谢容生、李梅、姚磊、夏韬、张洪、庄福礼、郭辉、袁博、张从丹</w:t>
            </w:r>
          </w:p>
        </w:tc>
      </w:tr>
      <w:tr w14:paraId="13201797">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58" w:hRule="atLeast"/>
        </w:trPr>
        <w:tc>
          <w:tcPr>
            <w:tcW w:w="1149" w:type="dxa"/>
            <w:tcBorders>
              <w:tl2br w:val="nil"/>
              <w:tr2bl w:val="nil"/>
            </w:tcBorders>
            <w:vAlign w:val="center"/>
          </w:tcPr>
          <w:p w14:paraId="357660A5">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p w14:paraId="06A22013">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简介</w:t>
            </w:r>
          </w:p>
        </w:tc>
        <w:tc>
          <w:tcPr>
            <w:tcW w:w="7373" w:type="dxa"/>
            <w:gridSpan w:val="4"/>
            <w:tcBorders>
              <w:tl2br w:val="nil"/>
              <w:tr2bl w:val="nil"/>
            </w:tcBorders>
            <w:vAlign w:val="center"/>
          </w:tcPr>
          <w:p w14:paraId="3382840A">
            <w:pPr>
              <w:spacing w:line="360" w:lineRule="auto"/>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本项目针对含砷固废处置中砷挥发控制难、有价金属回收率低、多污染物协同资源化难及终端产物稳定性差等系统性技术难题，以全过程污染控制与资源高效回收为核心，创新构建了“火法脱砷-烟气多污染物协同净化与碳资源化-焙渣多金属梯级回收-酸氢资源化-废渣多路径利用”的全链条技术体系。项目开发了高温干式电滤与梯级控温耦合技术，实现气态砷高效捕集与高纯回收；研发电化学-催化氧化协同净化与CO</w:t>
            </w:r>
            <w:r>
              <w:rPr>
                <w:rFonts w:hint="eastAsia" w:ascii="Times New Roman" w:hAnsi="Times New Roman" w:eastAsia="仿宋_GB2312" w:cs="Times New Roman"/>
                <w:sz w:val="24"/>
                <w:szCs w:val="24"/>
                <w:vertAlign w:val="subscript"/>
              </w:rPr>
              <w:t>2</w:t>
            </w:r>
            <w:r>
              <w:rPr>
                <w:rFonts w:hint="eastAsia" w:ascii="Times New Roman" w:hAnsi="Times New Roman" w:eastAsia="仿宋_GB2312" w:cs="Times New Roman"/>
                <w:sz w:val="24"/>
                <w:szCs w:val="24"/>
              </w:rPr>
              <w:t>甲烷化系统，实现硫、硝协同脱除与资源化；开发苄基胂酸绿色合成及高纯金属砷制备工艺，产品主含量≥60%、砷纯度≥99.9%；建立“分步定向分离-梯级资源回收”体系，实现Pb、Ge、In等多金属综合回收率＞90%；通过骨料替代、3D打印等建材化技术，实现残渣大规模高值利用。项目整体技术达到国际先进水平，部分技术属国际首创，授权专利50余件，发表40余篇高水平论文，参与/主持制定国家、地方、团体等标准4项，形成关键技术装备与工艺标准。</w:t>
            </w:r>
          </w:p>
          <w:p w14:paraId="55438625">
            <w:pPr>
              <w:spacing w:line="360" w:lineRule="auto"/>
              <w:ind w:firstLine="480" w:firstLineChars="200"/>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成果已在红河砷业、个旧市森源有限责任公司等企业成功应用，实现了含砷危废的规模化、高值化处置与资源循环。近三年累计新增利润显著，降低下游企业环保成本约9500万元/年，资源回收效益显著，三废排放有效控制，经济、社会和环境效益突出。</w:t>
            </w:r>
          </w:p>
        </w:tc>
      </w:tr>
      <w:tr w14:paraId="6415F21E">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9" w:hRule="atLeast"/>
        </w:trPr>
        <w:tc>
          <w:tcPr>
            <w:tcW w:w="1149" w:type="dxa"/>
            <w:vMerge w:val="restart"/>
            <w:tcBorders>
              <w:tl2br w:val="nil"/>
              <w:tr2bl w:val="nil"/>
            </w:tcBorders>
            <w:vAlign w:val="center"/>
          </w:tcPr>
          <w:p w14:paraId="77EE7B73">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知识</w:t>
            </w:r>
          </w:p>
          <w:p w14:paraId="5638AAE5">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产权</w:t>
            </w:r>
          </w:p>
          <w:p w14:paraId="722DFB56">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情况</w:t>
            </w:r>
          </w:p>
        </w:tc>
        <w:tc>
          <w:tcPr>
            <w:tcW w:w="1752" w:type="dxa"/>
            <w:vMerge w:val="restart"/>
            <w:tcBorders>
              <w:tl2br w:val="nil"/>
              <w:tr2bl w:val="nil"/>
            </w:tcBorders>
            <w:vAlign w:val="center"/>
          </w:tcPr>
          <w:p w14:paraId="7CDC31F8">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知识产权</w:t>
            </w:r>
          </w:p>
          <w:p w14:paraId="18AA213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（标准）类别</w:t>
            </w:r>
          </w:p>
        </w:tc>
        <w:tc>
          <w:tcPr>
            <w:tcW w:w="1725" w:type="dxa"/>
            <w:vMerge w:val="restart"/>
            <w:tcBorders>
              <w:tl2br w:val="nil"/>
              <w:tr2bl w:val="nil"/>
            </w:tcBorders>
            <w:vAlign w:val="center"/>
          </w:tcPr>
          <w:p w14:paraId="0FB04726">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知识产权（标准）具体名称</w:t>
            </w:r>
          </w:p>
        </w:tc>
        <w:tc>
          <w:tcPr>
            <w:tcW w:w="2130" w:type="dxa"/>
            <w:vMerge w:val="restart"/>
            <w:tcBorders>
              <w:tl2br w:val="nil"/>
              <w:tr2bl w:val="nil"/>
            </w:tcBorders>
            <w:vAlign w:val="center"/>
          </w:tcPr>
          <w:p w14:paraId="1EDDA0AA">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授权号</w:t>
            </w:r>
          </w:p>
          <w:p w14:paraId="41FF251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（标准编号）</w:t>
            </w:r>
          </w:p>
        </w:tc>
        <w:tc>
          <w:tcPr>
            <w:tcW w:w="1766" w:type="dxa"/>
            <w:tcBorders>
              <w:tl2br w:val="nil"/>
              <w:tr2bl w:val="nil"/>
            </w:tcBorders>
            <w:vAlign w:val="center"/>
          </w:tcPr>
          <w:p w14:paraId="285B34E4">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证书编号</w:t>
            </w:r>
          </w:p>
        </w:tc>
      </w:tr>
      <w:tr w14:paraId="2151BA7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9" w:hRule="atLeast"/>
        </w:trPr>
        <w:tc>
          <w:tcPr>
            <w:tcW w:w="1149" w:type="dxa"/>
            <w:vMerge w:val="continue"/>
            <w:tcBorders>
              <w:tl2br w:val="nil"/>
              <w:tr2bl w:val="nil"/>
            </w:tcBorders>
            <w:vAlign w:val="center"/>
          </w:tcPr>
          <w:p w14:paraId="106E5544">
            <w:pPr>
              <w:spacing w:line="360" w:lineRule="auto"/>
              <w:jc w:val="center"/>
              <w:rPr>
                <w:rFonts w:hint="default" w:ascii="Times New Roman" w:hAnsi="Times New Roman" w:eastAsia="仿宋_GB2312" w:cs="Times New Roman"/>
                <w:sz w:val="24"/>
                <w:szCs w:val="24"/>
              </w:rPr>
            </w:pPr>
          </w:p>
        </w:tc>
        <w:tc>
          <w:tcPr>
            <w:tcW w:w="1752" w:type="dxa"/>
            <w:vMerge w:val="continue"/>
            <w:tcBorders>
              <w:tl2br w:val="nil"/>
              <w:tr2bl w:val="nil"/>
            </w:tcBorders>
            <w:vAlign w:val="center"/>
          </w:tcPr>
          <w:p w14:paraId="51828042">
            <w:pPr>
              <w:spacing w:line="360" w:lineRule="auto"/>
              <w:jc w:val="center"/>
              <w:rPr>
                <w:rFonts w:hint="default" w:ascii="Times New Roman" w:hAnsi="Times New Roman" w:eastAsia="仿宋_GB2312" w:cs="Times New Roman"/>
                <w:b/>
                <w:bCs/>
                <w:sz w:val="24"/>
                <w:szCs w:val="24"/>
              </w:rPr>
            </w:pPr>
          </w:p>
        </w:tc>
        <w:tc>
          <w:tcPr>
            <w:tcW w:w="1725" w:type="dxa"/>
            <w:vMerge w:val="continue"/>
            <w:tcBorders>
              <w:tl2br w:val="nil"/>
              <w:tr2bl w:val="nil"/>
            </w:tcBorders>
            <w:vAlign w:val="center"/>
          </w:tcPr>
          <w:p w14:paraId="20E82FC1">
            <w:pPr>
              <w:spacing w:line="360" w:lineRule="auto"/>
              <w:jc w:val="center"/>
              <w:rPr>
                <w:rFonts w:hint="default" w:ascii="Times New Roman" w:hAnsi="Times New Roman" w:eastAsia="仿宋_GB2312" w:cs="Times New Roman"/>
                <w:b/>
                <w:bCs/>
                <w:sz w:val="24"/>
                <w:szCs w:val="24"/>
              </w:rPr>
            </w:pPr>
          </w:p>
        </w:tc>
        <w:tc>
          <w:tcPr>
            <w:tcW w:w="2130" w:type="dxa"/>
            <w:vMerge w:val="continue"/>
            <w:tcBorders>
              <w:tl2br w:val="nil"/>
              <w:tr2bl w:val="nil"/>
            </w:tcBorders>
            <w:vAlign w:val="center"/>
          </w:tcPr>
          <w:p w14:paraId="2703F25E">
            <w:pPr>
              <w:spacing w:line="360" w:lineRule="auto"/>
              <w:jc w:val="center"/>
              <w:rPr>
                <w:rFonts w:hint="default" w:ascii="Times New Roman" w:hAnsi="Times New Roman" w:eastAsia="仿宋_GB2312" w:cs="Times New Roman"/>
                <w:b/>
                <w:bCs/>
                <w:sz w:val="24"/>
                <w:szCs w:val="24"/>
              </w:rPr>
            </w:pPr>
          </w:p>
        </w:tc>
        <w:tc>
          <w:tcPr>
            <w:tcW w:w="1766" w:type="dxa"/>
            <w:tcBorders>
              <w:tl2br w:val="nil"/>
              <w:tr2bl w:val="nil"/>
            </w:tcBorders>
            <w:vAlign w:val="center"/>
          </w:tcPr>
          <w:p w14:paraId="325B88D3">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（标准批准</w:t>
            </w:r>
          </w:p>
          <w:p w14:paraId="28BD2C42">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发布部门）</w:t>
            </w:r>
          </w:p>
        </w:tc>
      </w:tr>
      <w:tr w14:paraId="5C954E48">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383ECFC5">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3B2EECBF">
            <w:pPr>
              <w:jc w:val="center"/>
              <w:rPr>
                <w:rFonts w:hint="default" w:ascii="Times New Roman" w:hAnsi="Times New Roman" w:eastAsia="仿宋_GB2312" w:cs="Times New Roman"/>
                <w:sz w:val="24"/>
                <w:szCs w:val="24"/>
              </w:rPr>
            </w:pPr>
            <w:r>
              <w:rPr>
                <w:rFonts w:ascii="Times New Roman" w:hAnsi="Times New Roman" w:cs="Times New Roman"/>
                <w:spacing w:val="6"/>
                <w:szCs w:val="21"/>
              </w:rPr>
              <w:t>实用新型</w:t>
            </w:r>
            <w:r>
              <w:rPr>
                <w:rFonts w:ascii="Times New Roman" w:hAnsi="Times New Roman" w:cs="Times New Roman"/>
                <w:spacing w:val="5"/>
                <w:szCs w:val="21"/>
              </w:rPr>
              <w:t>专利</w:t>
            </w:r>
          </w:p>
        </w:tc>
        <w:tc>
          <w:tcPr>
            <w:tcW w:w="1725" w:type="dxa"/>
            <w:tcBorders>
              <w:tl2br w:val="nil"/>
              <w:tr2bl w:val="nil"/>
            </w:tcBorders>
            <w:vAlign w:val="center"/>
          </w:tcPr>
          <w:p w14:paraId="541956D5">
            <w:pPr>
              <w:jc w:val="center"/>
              <w:rPr>
                <w:rFonts w:hint="default" w:ascii="Times New Roman" w:hAnsi="Times New Roman" w:eastAsia="仿宋_GB2312" w:cs="Times New Roman"/>
                <w:sz w:val="24"/>
                <w:szCs w:val="24"/>
              </w:rPr>
            </w:pPr>
            <w:r>
              <w:rPr>
                <w:rFonts w:ascii="Times New Roman" w:hAnsi="Times New Roman" w:cs="Times New Roman"/>
                <w:spacing w:val="3"/>
                <w:szCs w:val="21"/>
              </w:rPr>
              <w:t>白烟尘脱砷设</w:t>
            </w:r>
            <w:r>
              <w:rPr>
                <w:rFonts w:ascii="Times New Roman" w:hAnsi="Times New Roman" w:cs="Times New Roman"/>
                <w:szCs w:val="21"/>
              </w:rPr>
              <w:t>备</w:t>
            </w:r>
          </w:p>
        </w:tc>
        <w:tc>
          <w:tcPr>
            <w:tcW w:w="2130" w:type="dxa"/>
            <w:tcBorders>
              <w:tl2br w:val="nil"/>
              <w:tr2bl w:val="nil"/>
            </w:tcBorders>
            <w:vAlign w:val="center"/>
          </w:tcPr>
          <w:p w14:paraId="0E64EA0C">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ZL202222114474.1</w:t>
            </w:r>
          </w:p>
        </w:tc>
        <w:tc>
          <w:tcPr>
            <w:tcW w:w="1766" w:type="dxa"/>
            <w:tcBorders>
              <w:tl2br w:val="nil"/>
              <w:tr2bl w:val="nil"/>
            </w:tcBorders>
            <w:vAlign w:val="center"/>
          </w:tcPr>
          <w:p w14:paraId="69894536">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2EDA55A9">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8BB96C6">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7F4E392A">
            <w:pPr>
              <w:jc w:val="center"/>
              <w:rPr>
                <w:rFonts w:hint="default" w:ascii="Times New Roman" w:hAnsi="Times New Roman" w:eastAsia="仿宋_GB2312" w:cs="Times New Roman"/>
                <w:sz w:val="24"/>
                <w:szCs w:val="24"/>
              </w:rPr>
            </w:pPr>
            <w:r>
              <w:rPr>
                <w:rFonts w:ascii="Times New Roman" w:hAnsi="Times New Roman" w:cs="Times New Roman"/>
                <w:spacing w:val="7"/>
                <w:szCs w:val="21"/>
              </w:rPr>
              <w:t>发明专利</w:t>
            </w:r>
          </w:p>
        </w:tc>
        <w:tc>
          <w:tcPr>
            <w:tcW w:w="1725" w:type="dxa"/>
            <w:tcBorders>
              <w:tl2br w:val="nil"/>
              <w:tr2bl w:val="nil"/>
            </w:tcBorders>
            <w:vAlign w:val="center"/>
          </w:tcPr>
          <w:p w14:paraId="23847219">
            <w:pPr>
              <w:pStyle w:val="12"/>
              <w:ind w:left="102"/>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sz w:val="21"/>
                <w:szCs w:val="21"/>
                <w:lang w:eastAsia="zh-CN"/>
              </w:rPr>
              <w:t>三重工艺叠加</w:t>
            </w:r>
          </w:p>
          <w:p w14:paraId="36EACF1E">
            <w:pPr>
              <w:jc w:val="center"/>
              <w:rPr>
                <w:rFonts w:hint="default" w:ascii="Times New Roman" w:hAnsi="Times New Roman" w:eastAsia="仿宋_GB2312" w:cs="Times New Roman"/>
                <w:sz w:val="24"/>
                <w:szCs w:val="24"/>
              </w:rPr>
            </w:pPr>
            <w:r>
              <w:rPr>
                <w:rFonts w:ascii="Times New Roman" w:hAnsi="Times New Roman" w:cs="Times New Roman"/>
                <w:spacing w:val="7"/>
                <w:szCs w:val="21"/>
              </w:rPr>
              <w:t>强化白烟尘脱</w:t>
            </w:r>
            <w:r>
              <w:rPr>
                <w:rFonts w:ascii="Times New Roman" w:hAnsi="Times New Roman" w:cs="Times New Roman"/>
                <w:spacing w:val="8"/>
                <w:szCs w:val="21"/>
              </w:rPr>
              <w:t>砷的方法</w:t>
            </w:r>
          </w:p>
        </w:tc>
        <w:tc>
          <w:tcPr>
            <w:tcW w:w="2130" w:type="dxa"/>
            <w:tcBorders>
              <w:tl2br w:val="nil"/>
              <w:tr2bl w:val="nil"/>
            </w:tcBorders>
            <w:vAlign w:val="center"/>
          </w:tcPr>
          <w:p w14:paraId="3944E593">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ZL202210964168.9</w:t>
            </w:r>
          </w:p>
        </w:tc>
        <w:tc>
          <w:tcPr>
            <w:tcW w:w="1766" w:type="dxa"/>
            <w:tcBorders>
              <w:tl2br w:val="nil"/>
              <w:tr2bl w:val="nil"/>
            </w:tcBorders>
            <w:vAlign w:val="center"/>
          </w:tcPr>
          <w:p w14:paraId="3782511B">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4C119707">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53052F8">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BF53988">
            <w:pPr>
              <w:jc w:val="center"/>
              <w:rPr>
                <w:rFonts w:hint="default" w:ascii="Times New Roman" w:hAnsi="Times New Roman" w:eastAsia="仿宋_GB2312" w:cs="Times New Roman"/>
                <w:sz w:val="24"/>
                <w:szCs w:val="24"/>
              </w:rPr>
            </w:pPr>
            <w:r>
              <w:rPr>
                <w:rFonts w:ascii="Times New Roman" w:hAnsi="Times New Roman" w:cs="Times New Roman"/>
                <w:spacing w:val="6"/>
                <w:szCs w:val="21"/>
              </w:rPr>
              <w:t>实用新型</w:t>
            </w:r>
            <w:r>
              <w:rPr>
                <w:rFonts w:ascii="Times New Roman" w:hAnsi="Times New Roman" w:cs="Times New Roman"/>
                <w:spacing w:val="5"/>
                <w:szCs w:val="21"/>
              </w:rPr>
              <w:t>专利</w:t>
            </w:r>
          </w:p>
        </w:tc>
        <w:tc>
          <w:tcPr>
            <w:tcW w:w="1725" w:type="dxa"/>
            <w:tcBorders>
              <w:tl2br w:val="nil"/>
              <w:tr2bl w:val="nil"/>
            </w:tcBorders>
            <w:vAlign w:val="center"/>
          </w:tcPr>
          <w:p w14:paraId="78CC30DF">
            <w:pPr>
              <w:pStyle w:val="12"/>
              <w:ind w:left="108"/>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7"/>
                <w:position w:val="-1"/>
                <w:sz w:val="21"/>
                <w:szCs w:val="21"/>
                <w:lang w:eastAsia="zh-CN"/>
              </w:rPr>
              <w:t>高砷高锑冶炼</w:t>
            </w:r>
          </w:p>
          <w:p w14:paraId="14CA6038">
            <w:pPr>
              <w:jc w:val="center"/>
              <w:rPr>
                <w:rFonts w:hint="default" w:ascii="Times New Roman" w:hAnsi="Times New Roman" w:eastAsia="仿宋_GB2312" w:cs="Times New Roman"/>
                <w:sz w:val="24"/>
                <w:szCs w:val="24"/>
              </w:rPr>
            </w:pPr>
            <w:r>
              <w:rPr>
                <w:rFonts w:ascii="Times New Roman" w:hAnsi="Times New Roman" w:cs="Times New Roman"/>
                <w:spacing w:val="8"/>
                <w:szCs w:val="21"/>
              </w:rPr>
              <w:t>烟尘制备低锑精白砷设备</w:t>
            </w:r>
          </w:p>
        </w:tc>
        <w:tc>
          <w:tcPr>
            <w:tcW w:w="2130" w:type="dxa"/>
            <w:tcBorders>
              <w:tl2br w:val="nil"/>
              <w:tr2bl w:val="nil"/>
            </w:tcBorders>
            <w:vAlign w:val="center"/>
          </w:tcPr>
          <w:p w14:paraId="33586B09">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ZL202222010186.1</w:t>
            </w:r>
          </w:p>
        </w:tc>
        <w:tc>
          <w:tcPr>
            <w:tcW w:w="1766" w:type="dxa"/>
            <w:tcBorders>
              <w:tl2br w:val="nil"/>
              <w:tr2bl w:val="nil"/>
            </w:tcBorders>
            <w:vAlign w:val="center"/>
          </w:tcPr>
          <w:p w14:paraId="1CF1D285">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36F6668E">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4CE25A84">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2B6DBADE">
            <w:pPr>
              <w:jc w:val="center"/>
              <w:rPr>
                <w:rFonts w:hint="default" w:ascii="Times New Roman" w:hAnsi="Times New Roman" w:eastAsia="仿宋_GB2312" w:cs="Times New Roman"/>
                <w:sz w:val="24"/>
                <w:szCs w:val="24"/>
              </w:rPr>
            </w:pPr>
            <w:r>
              <w:rPr>
                <w:rFonts w:ascii="Times New Roman" w:hAnsi="Times New Roman" w:cs="Times New Roman"/>
                <w:spacing w:val="6"/>
                <w:szCs w:val="21"/>
              </w:rPr>
              <w:t>实用新型</w:t>
            </w:r>
            <w:r>
              <w:rPr>
                <w:rFonts w:ascii="Times New Roman" w:hAnsi="Times New Roman" w:cs="Times New Roman"/>
                <w:spacing w:val="5"/>
                <w:szCs w:val="21"/>
              </w:rPr>
              <w:t>专利</w:t>
            </w:r>
          </w:p>
        </w:tc>
        <w:tc>
          <w:tcPr>
            <w:tcW w:w="1725" w:type="dxa"/>
            <w:tcBorders>
              <w:tl2br w:val="nil"/>
              <w:tr2bl w:val="nil"/>
            </w:tcBorders>
            <w:vAlign w:val="center"/>
          </w:tcPr>
          <w:p w14:paraId="60663B5F">
            <w:pPr>
              <w:pStyle w:val="12"/>
              <w:ind w:left="106"/>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position w:val="-1"/>
                <w:sz w:val="21"/>
                <w:szCs w:val="21"/>
                <w:lang w:eastAsia="zh-CN"/>
              </w:rPr>
              <w:t>一种利用高砷</w:t>
            </w:r>
          </w:p>
          <w:p w14:paraId="018E4D21">
            <w:pPr>
              <w:jc w:val="center"/>
              <w:rPr>
                <w:rFonts w:hint="default" w:ascii="Times New Roman" w:hAnsi="Times New Roman" w:eastAsia="仿宋_GB2312" w:cs="Times New Roman"/>
                <w:sz w:val="24"/>
                <w:szCs w:val="24"/>
              </w:rPr>
            </w:pPr>
            <w:r>
              <w:rPr>
                <w:rFonts w:ascii="Times New Roman" w:hAnsi="Times New Roman" w:cs="Times New Roman"/>
                <w:spacing w:val="8"/>
                <w:szCs w:val="21"/>
              </w:rPr>
              <w:t>烟尘直接生产砷的设备</w:t>
            </w:r>
          </w:p>
        </w:tc>
        <w:tc>
          <w:tcPr>
            <w:tcW w:w="2130" w:type="dxa"/>
            <w:tcBorders>
              <w:tl2br w:val="nil"/>
              <w:tr2bl w:val="nil"/>
            </w:tcBorders>
            <w:vAlign w:val="center"/>
          </w:tcPr>
          <w:p w14:paraId="55F6969A">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ZL201721564816.2</w:t>
            </w:r>
          </w:p>
        </w:tc>
        <w:tc>
          <w:tcPr>
            <w:tcW w:w="1766" w:type="dxa"/>
            <w:tcBorders>
              <w:tl2br w:val="nil"/>
              <w:tr2bl w:val="nil"/>
            </w:tcBorders>
            <w:vAlign w:val="center"/>
          </w:tcPr>
          <w:p w14:paraId="61213D37">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246FE3DE">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12D01641">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8F0940F">
            <w:pPr>
              <w:jc w:val="center"/>
              <w:rPr>
                <w:rFonts w:hint="default" w:ascii="Times New Roman" w:hAnsi="Times New Roman" w:eastAsia="仿宋_GB2312" w:cs="Times New Roman"/>
                <w:sz w:val="24"/>
                <w:szCs w:val="24"/>
              </w:rPr>
            </w:pPr>
            <w:r>
              <w:rPr>
                <w:rFonts w:ascii="Times New Roman" w:hAnsi="Times New Roman" w:cs="Times New Roman"/>
                <w:spacing w:val="6"/>
                <w:szCs w:val="21"/>
              </w:rPr>
              <w:t>实用新型</w:t>
            </w:r>
            <w:r>
              <w:rPr>
                <w:rFonts w:ascii="Times New Roman" w:hAnsi="Times New Roman" w:cs="Times New Roman"/>
                <w:spacing w:val="5"/>
                <w:szCs w:val="21"/>
              </w:rPr>
              <w:t>专利</w:t>
            </w:r>
          </w:p>
        </w:tc>
        <w:tc>
          <w:tcPr>
            <w:tcW w:w="1725" w:type="dxa"/>
            <w:tcBorders>
              <w:tl2br w:val="nil"/>
              <w:tr2bl w:val="nil"/>
            </w:tcBorders>
            <w:vAlign w:val="center"/>
          </w:tcPr>
          <w:p w14:paraId="604D48B9">
            <w:pPr>
              <w:pStyle w:val="12"/>
              <w:ind w:left="106" w:leftChars="0"/>
              <w:jc w:val="center"/>
              <w:rPr>
                <w:rFonts w:hint="default" w:ascii="Times New Roman" w:hAnsi="Times New Roman" w:eastAsia="仿宋_GB2312" w:cs="Times New Roman"/>
                <w:sz w:val="24"/>
                <w:szCs w:val="24"/>
              </w:rPr>
            </w:pPr>
            <w:r>
              <w:rPr>
                <w:rFonts w:ascii="Times New Roman" w:hAnsi="Times New Roman" w:cs="Times New Roman" w:eastAsiaTheme="minorEastAsia"/>
                <w:spacing w:val="8"/>
                <w:position w:val="-1"/>
                <w:sz w:val="21"/>
                <w:szCs w:val="21"/>
                <w:lang w:eastAsia="zh-CN"/>
              </w:rPr>
              <w:t>一种提高</w:t>
            </w:r>
            <w:r>
              <w:rPr>
                <w:rFonts w:hint="eastAsia" w:ascii="Times New Roman" w:hAnsi="Times New Roman" w:cs="Times New Roman" w:eastAsiaTheme="minorEastAsia"/>
                <w:spacing w:val="8"/>
                <w:position w:val="-1"/>
                <w:sz w:val="21"/>
                <w:szCs w:val="21"/>
                <w:lang w:eastAsia="zh-CN"/>
              </w:rPr>
              <w:t>苄基胂</w:t>
            </w:r>
            <w:r>
              <w:rPr>
                <w:rFonts w:ascii="Times New Roman" w:hAnsi="Times New Roman" w:cs="Times New Roman" w:eastAsiaTheme="minorEastAsia"/>
                <w:spacing w:val="8"/>
                <w:sz w:val="21"/>
                <w:szCs w:val="21"/>
                <w:lang w:eastAsia="zh-CN"/>
              </w:rPr>
              <w:t>酸生产产率</w:t>
            </w:r>
            <w:r>
              <w:rPr>
                <w:rFonts w:ascii="Times New Roman" w:hAnsi="Times New Roman" w:cs="Times New Roman" w:eastAsiaTheme="minorEastAsia"/>
                <w:spacing w:val="1"/>
                <w:sz w:val="21"/>
                <w:szCs w:val="21"/>
                <w:lang w:eastAsia="zh-CN"/>
              </w:rPr>
              <w:t>的系统</w:t>
            </w:r>
          </w:p>
        </w:tc>
        <w:tc>
          <w:tcPr>
            <w:tcW w:w="2130" w:type="dxa"/>
            <w:tcBorders>
              <w:tl2br w:val="nil"/>
              <w:tr2bl w:val="nil"/>
            </w:tcBorders>
            <w:vAlign w:val="center"/>
          </w:tcPr>
          <w:p w14:paraId="601C2D73">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ZL201821531850.4</w:t>
            </w:r>
          </w:p>
        </w:tc>
        <w:tc>
          <w:tcPr>
            <w:tcW w:w="1766" w:type="dxa"/>
            <w:tcBorders>
              <w:tl2br w:val="nil"/>
              <w:tr2bl w:val="nil"/>
            </w:tcBorders>
            <w:vAlign w:val="center"/>
          </w:tcPr>
          <w:p w14:paraId="1924C81F">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54A87B27">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9F85B84">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786D380B">
            <w:pPr>
              <w:jc w:val="center"/>
              <w:rPr>
                <w:rFonts w:hint="default" w:ascii="Times New Roman" w:hAnsi="Times New Roman" w:eastAsia="仿宋_GB2312" w:cs="Times New Roman"/>
                <w:sz w:val="24"/>
                <w:szCs w:val="24"/>
              </w:rPr>
            </w:pPr>
            <w:r>
              <w:rPr>
                <w:rFonts w:ascii="Times New Roman" w:hAnsi="Times New Roman" w:cs="Times New Roman"/>
                <w:spacing w:val="7"/>
                <w:szCs w:val="21"/>
              </w:rPr>
              <w:t>发明专利</w:t>
            </w:r>
          </w:p>
        </w:tc>
        <w:tc>
          <w:tcPr>
            <w:tcW w:w="1725" w:type="dxa"/>
            <w:tcBorders>
              <w:tl2br w:val="nil"/>
              <w:tr2bl w:val="nil"/>
            </w:tcBorders>
            <w:vAlign w:val="center"/>
          </w:tcPr>
          <w:p w14:paraId="5ACBEC2B">
            <w:pPr>
              <w:pStyle w:val="12"/>
              <w:ind w:left="127"/>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4"/>
                <w:sz w:val="21"/>
                <w:szCs w:val="21"/>
                <w:lang w:eastAsia="zh-CN"/>
              </w:rPr>
              <w:t>电化学协同液</w:t>
            </w:r>
          </w:p>
          <w:p w14:paraId="37228350">
            <w:pPr>
              <w:pStyle w:val="12"/>
              <w:ind w:left="103"/>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position w:val="-1"/>
                <w:sz w:val="21"/>
                <w:szCs w:val="21"/>
                <w:lang w:eastAsia="zh-CN"/>
              </w:rPr>
              <w:t>相催化硫硝尘</w:t>
            </w:r>
          </w:p>
          <w:p w14:paraId="0BEC959D">
            <w:pPr>
              <w:pStyle w:val="12"/>
              <w:ind w:left="106"/>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sz w:val="21"/>
                <w:szCs w:val="21"/>
                <w:lang w:eastAsia="zh-CN"/>
              </w:rPr>
              <w:t>一体化净化方</w:t>
            </w:r>
          </w:p>
          <w:p w14:paraId="528F16BF">
            <w:pPr>
              <w:jc w:val="center"/>
              <w:rPr>
                <w:rFonts w:hint="default" w:ascii="Times New Roman" w:hAnsi="Times New Roman" w:eastAsia="仿宋_GB2312" w:cs="Times New Roman"/>
                <w:sz w:val="24"/>
                <w:szCs w:val="24"/>
              </w:rPr>
            </w:pPr>
            <w:r>
              <w:rPr>
                <w:rFonts w:ascii="Times New Roman" w:hAnsi="Times New Roman" w:cs="Times New Roman"/>
                <w:spacing w:val="7"/>
                <w:position w:val="-1"/>
                <w:szCs w:val="21"/>
              </w:rPr>
              <w:t>法及装置</w:t>
            </w:r>
          </w:p>
        </w:tc>
        <w:tc>
          <w:tcPr>
            <w:tcW w:w="2130" w:type="dxa"/>
            <w:tcBorders>
              <w:tl2br w:val="nil"/>
              <w:tr2bl w:val="nil"/>
            </w:tcBorders>
            <w:vAlign w:val="center"/>
          </w:tcPr>
          <w:p w14:paraId="270FDE23">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ZL201910168509.X</w:t>
            </w:r>
          </w:p>
        </w:tc>
        <w:tc>
          <w:tcPr>
            <w:tcW w:w="1766" w:type="dxa"/>
            <w:tcBorders>
              <w:tl2br w:val="nil"/>
              <w:tr2bl w:val="nil"/>
            </w:tcBorders>
            <w:vAlign w:val="center"/>
          </w:tcPr>
          <w:p w14:paraId="3A5CF38A">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09B78338">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B9D690D">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555958AD">
            <w:pPr>
              <w:jc w:val="center"/>
              <w:rPr>
                <w:rFonts w:hint="default" w:ascii="Times New Roman" w:hAnsi="Times New Roman" w:eastAsia="仿宋_GB2312" w:cs="Times New Roman"/>
                <w:sz w:val="24"/>
                <w:szCs w:val="24"/>
              </w:rPr>
            </w:pPr>
            <w:r>
              <w:rPr>
                <w:rFonts w:ascii="Times New Roman" w:hAnsi="Times New Roman" w:cs="Times New Roman"/>
                <w:spacing w:val="7"/>
                <w:szCs w:val="21"/>
              </w:rPr>
              <w:t>发明专利</w:t>
            </w:r>
          </w:p>
        </w:tc>
        <w:tc>
          <w:tcPr>
            <w:tcW w:w="1725" w:type="dxa"/>
            <w:tcBorders>
              <w:tl2br w:val="nil"/>
              <w:tr2bl w:val="nil"/>
            </w:tcBorders>
            <w:vAlign w:val="center"/>
          </w:tcPr>
          <w:p w14:paraId="76F1DCBD">
            <w:pPr>
              <w:pStyle w:val="12"/>
              <w:ind w:left="106"/>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position w:val="-1"/>
                <w:sz w:val="21"/>
                <w:szCs w:val="21"/>
                <w:lang w:eastAsia="zh-CN"/>
              </w:rPr>
              <w:t>一种大宗固废</w:t>
            </w:r>
          </w:p>
          <w:p w14:paraId="657F97E4">
            <w:pPr>
              <w:pStyle w:val="12"/>
              <w:ind w:left="102"/>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position w:val="-1"/>
                <w:sz w:val="21"/>
                <w:szCs w:val="21"/>
                <w:lang w:eastAsia="zh-CN"/>
              </w:rPr>
              <w:t>接触成型制备</w:t>
            </w:r>
          </w:p>
          <w:p w14:paraId="66D2427D">
            <w:pPr>
              <w:jc w:val="center"/>
              <w:rPr>
                <w:rFonts w:hint="default" w:ascii="Times New Roman" w:hAnsi="Times New Roman" w:eastAsia="仿宋_GB2312" w:cs="Times New Roman"/>
                <w:sz w:val="24"/>
                <w:szCs w:val="24"/>
              </w:rPr>
            </w:pPr>
            <w:r>
              <w:rPr>
                <w:rFonts w:ascii="Times New Roman" w:hAnsi="Times New Roman" w:cs="Times New Roman"/>
                <w:spacing w:val="8"/>
                <w:position w:val="-1"/>
                <w:szCs w:val="21"/>
              </w:rPr>
              <w:t>建筑材料的方</w:t>
            </w:r>
            <w:r>
              <w:rPr>
                <w:rFonts w:ascii="Times New Roman" w:hAnsi="Times New Roman" w:cs="Times New Roman"/>
                <w:spacing w:val="1"/>
                <w:position w:val="-1"/>
                <w:szCs w:val="21"/>
              </w:rPr>
              <w:t>法</w:t>
            </w:r>
          </w:p>
        </w:tc>
        <w:tc>
          <w:tcPr>
            <w:tcW w:w="2130" w:type="dxa"/>
            <w:tcBorders>
              <w:tl2br w:val="nil"/>
              <w:tr2bl w:val="nil"/>
            </w:tcBorders>
            <w:vAlign w:val="center"/>
          </w:tcPr>
          <w:p w14:paraId="25422BA1">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ZL202111219197.4</w:t>
            </w:r>
          </w:p>
        </w:tc>
        <w:tc>
          <w:tcPr>
            <w:tcW w:w="1766" w:type="dxa"/>
            <w:tcBorders>
              <w:tl2br w:val="nil"/>
              <w:tr2bl w:val="nil"/>
            </w:tcBorders>
            <w:vAlign w:val="center"/>
          </w:tcPr>
          <w:p w14:paraId="73A8A31D">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2AEE7E2A">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34753B25">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59FA0BB3">
            <w:pPr>
              <w:jc w:val="center"/>
              <w:rPr>
                <w:rFonts w:hint="default" w:ascii="Times New Roman" w:hAnsi="Times New Roman" w:eastAsia="仿宋_GB2312" w:cs="Times New Roman"/>
                <w:sz w:val="24"/>
                <w:szCs w:val="24"/>
              </w:rPr>
            </w:pPr>
            <w:r>
              <w:rPr>
                <w:rFonts w:ascii="Times New Roman" w:hAnsi="Times New Roman" w:cs="Times New Roman"/>
                <w:spacing w:val="2"/>
                <w:szCs w:val="21"/>
              </w:rPr>
              <w:t>国际专利</w:t>
            </w:r>
          </w:p>
        </w:tc>
        <w:tc>
          <w:tcPr>
            <w:tcW w:w="1725" w:type="dxa"/>
            <w:tcBorders>
              <w:tl2br w:val="nil"/>
              <w:tr2bl w:val="nil"/>
            </w:tcBorders>
            <w:vAlign w:val="center"/>
          </w:tcPr>
          <w:p w14:paraId="1E344961">
            <w:pPr>
              <w:pStyle w:val="12"/>
              <w:ind w:left="103" w:leftChars="0" w:right="129" w:rightChars="0"/>
              <w:jc w:val="center"/>
              <w:rPr>
                <w:rFonts w:hint="default" w:ascii="Times New Roman" w:hAnsi="Times New Roman" w:eastAsia="仿宋_GB2312" w:cs="Times New Roman"/>
                <w:sz w:val="24"/>
                <w:szCs w:val="24"/>
              </w:rPr>
            </w:pPr>
            <w:r>
              <w:rPr>
                <w:rFonts w:ascii="Times New Roman" w:hAnsi="Times New Roman" w:cs="Times New Roman" w:eastAsiaTheme="minorEastAsia"/>
                <w:position w:val="-4"/>
                <w:sz w:val="21"/>
                <w:szCs w:val="21"/>
              </w:rPr>
              <w:t>Method and device for preparing sulfuric acid and nitric acid by</w:t>
            </w:r>
            <w:r>
              <w:rPr>
                <w:rFonts w:hint="eastAsia" w:ascii="Times New Roman" w:hAnsi="Times New Roman" w:cs="Times New Roman" w:eastAsiaTheme="minorEastAsia"/>
                <w:position w:val="-4"/>
                <w:sz w:val="21"/>
                <w:szCs w:val="21"/>
                <w:lang w:eastAsia="zh-CN"/>
              </w:rPr>
              <w:t xml:space="preserve"> </w:t>
            </w:r>
            <w:r>
              <w:rPr>
                <w:rFonts w:ascii="Times New Roman" w:hAnsi="Times New Roman" w:cs="Times New Roman" w:eastAsiaTheme="minorEastAsia"/>
                <w:position w:val="-4"/>
                <w:sz w:val="21"/>
                <w:szCs w:val="21"/>
              </w:rPr>
              <w:t>synchronous desulfurization and denitrification</w:t>
            </w:r>
          </w:p>
        </w:tc>
        <w:tc>
          <w:tcPr>
            <w:tcW w:w="2130" w:type="dxa"/>
            <w:tcBorders>
              <w:tl2br w:val="nil"/>
              <w:tr2bl w:val="nil"/>
            </w:tcBorders>
            <w:vAlign w:val="center"/>
          </w:tcPr>
          <w:p w14:paraId="422AAA8B">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2021102574</w:t>
            </w:r>
          </w:p>
        </w:tc>
        <w:tc>
          <w:tcPr>
            <w:tcW w:w="1766" w:type="dxa"/>
            <w:tcBorders>
              <w:tl2br w:val="nil"/>
              <w:tr2bl w:val="nil"/>
            </w:tcBorders>
            <w:vAlign w:val="center"/>
          </w:tcPr>
          <w:p w14:paraId="731691C7">
            <w:pPr>
              <w:jc w:val="center"/>
              <w:rPr>
                <w:rFonts w:hint="default" w:ascii="Times New Roman" w:hAnsi="Times New Roman" w:eastAsia="仿宋_GB2312" w:cs="Times New Roman"/>
                <w:sz w:val="24"/>
                <w:szCs w:val="24"/>
              </w:rPr>
            </w:pPr>
            <w:r>
              <w:rPr>
                <w:rFonts w:ascii="Times New Roman" w:hAnsi="Times New Roman" w:eastAsia="仿宋_GB2312" w:cs="Times New Roman"/>
                <w:sz w:val="24"/>
                <w:szCs w:val="24"/>
              </w:rPr>
              <w:t>IP Australia</w:t>
            </w:r>
          </w:p>
        </w:tc>
      </w:tr>
      <w:tr w14:paraId="04839950">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48EEF03E">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20466F49">
            <w:pPr>
              <w:jc w:val="center"/>
              <w:rPr>
                <w:rFonts w:hint="default" w:ascii="Times New Roman" w:hAnsi="Times New Roman" w:eastAsia="仿宋_GB2312" w:cs="Times New Roman"/>
                <w:sz w:val="24"/>
                <w:szCs w:val="24"/>
              </w:rPr>
            </w:pPr>
            <w:r>
              <w:rPr>
                <w:rFonts w:ascii="Times New Roman" w:hAnsi="Times New Roman" w:cs="Times New Roman"/>
                <w:spacing w:val="7"/>
                <w:szCs w:val="21"/>
              </w:rPr>
              <w:t>发明专利</w:t>
            </w:r>
          </w:p>
        </w:tc>
        <w:tc>
          <w:tcPr>
            <w:tcW w:w="1725" w:type="dxa"/>
            <w:tcBorders>
              <w:tl2br w:val="nil"/>
              <w:tr2bl w:val="nil"/>
            </w:tcBorders>
            <w:vAlign w:val="center"/>
          </w:tcPr>
          <w:p w14:paraId="0CD31FB5">
            <w:pPr>
              <w:pStyle w:val="12"/>
              <w:ind w:left="106"/>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8"/>
                <w:position w:val="-1"/>
                <w:sz w:val="21"/>
                <w:szCs w:val="21"/>
                <w:lang w:eastAsia="zh-CN"/>
              </w:rPr>
              <w:t>一种高钙硅基</w:t>
            </w:r>
          </w:p>
          <w:p w14:paraId="2C2E0591">
            <w:pPr>
              <w:pStyle w:val="12"/>
              <w:ind w:left="120"/>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spacing w:val="5"/>
                <w:position w:val="-1"/>
                <w:sz w:val="21"/>
                <w:szCs w:val="21"/>
                <w:lang w:eastAsia="zh-CN"/>
              </w:rPr>
              <w:t>固废胶凝材料</w:t>
            </w:r>
          </w:p>
          <w:p w14:paraId="2309ACD7">
            <w:pPr>
              <w:jc w:val="center"/>
              <w:rPr>
                <w:rFonts w:hint="default" w:ascii="Times New Roman" w:hAnsi="Times New Roman" w:eastAsia="仿宋_GB2312" w:cs="Times New Roman"/>
                <w:sz w:val="24"/>
                <w:szCs w:val="24"/>
              </w:rPr>
            </w:pPr>
            <w:r>
              <w:rPr>
                <w:rFonts w:ascii="Times New Roman" w:hAnsi="Times New Roman" w:cs="Times New Roman"/>
                <w:spacing w:val="-5"/>
                <w:position w:val="-1"/>
                <w:szCs w:val="21"/>
              </w:rPr>
              <w:t>3D打印的方</w:t>
            </w:r>
            <w:r>
              <w:rPr>
                <w:rFonts w:ascii="Times New Roman" w:hAnsi="Times New Roman" w:cs="Times New Roman"/>
                <w:spacing w:val="1"/>
                <w:position w:val="-1"/>
                <w:szCs w:val="21"/>
              </w:rPr>
              <w:t>法</w:t>
            </w:r>
          </w:p>
        </w:tc>
        <w:tc>
          <w:tcPr>
            <w:tcW w:w="2130" w:type="dxa"/>
            <w:tcBorders>
              <w:tl2br w:val="nil"/>
              <w:tr2bl w:val="nil"/>
            </w:tcBorders>
            <w:vAlign w:val="center"/>
          </w:tcPr>
          <w:p w14:paraId="4EBCABAF">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ZL202210562509.X</w:t>
            </w:r>
          </w:p>
        </w:tc>
        <w:tc>
          <w:tcPr>
            <w:tcW w:w="1766" w:type="dxa"/>
            <w:tcBorders>
              <w:tl2br w:val="nil"/>
              <w:tr2bl w:val="nil"/>
            </w:tcBorders>
            <w:vAlign w:val="center"/>
          </w:tcPr>
          <w:p w14:paraId="35271735">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0BE3E031">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3E900300">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top"/>
          </w:tcPr>
          <w:p w14:paraId="3ABB4E96">
            <w:pPr>
              <w:spacing w:line="360" w:lineRule="auto"/>
              <w:jc w:val="center"/>
              <w:rPr>
                <w:rFonts w:hint="default" w:ascii="Times New Roman" w:hAnsi="Times New Roman" w:eastAsia="仿宋_GB2312" w:cs="Times New Roman"/>
                <w:sz w:val="24"/>
                <w:szCs w:val="24"/>
              </w:rPr>
            </w:pPr>
            <w:r>
              <w:rPr>
                <w:spacing w:val="7"/>
              </w:rPr>
              <w:t>发明专利</w:t>
            </w:r>
          </w:p>
        </w:tc>
        <w:tc>
          <w:tcPr>
            <w:tcW w:w="1725" w:type="dxa"/>
            <w:tcBorders>
              <w:tl2br w:val="nil"/>
              <w:tr2bl w:val="nil"/>
            </w:tcBorders>
            <w:vAlign w:val="center"/>
          </w:tcPr>
          <w:p w14:paraId="306F2F72">
            <w:pPr>
              <w:pStyle w:val="12"/>
              <w:ind w:left="106" w:leftChars="0"/>
              <w:jc w:val="center"/>
              <w:rPr>
                <w:rFonts w:hint="default" w:ascii="Times New Roman" w:hAnsi="Times New Roman" w:eastAsia="仿宋_GB2312" w:cs="Times New Roman"/>
                <w:sz w:val="24"/>
                <w:szCs w:val="24"/>
              </w:rPr>
            </w:pPr>
            <w:r>
              <w:rPr>
                <w:rFonts w:ascii="Times New Roman" w:hAnsi="Times New Roman" w:cs="Times New Roman" w:eastAsiaTheme="minorEastAsia"/>
                <w:spacing w:val="8"/>
                <w:position w:val="-1"/>
                <w:sz w:val="21"/>
                <w:szCs w:val="21"/>
                <w:lang w:eastAsia="zh-CN"/>
              </w:rPr>
              <w:t>高钙镁磷基固废耦合生物质煅烧制备营养土的装置及方法</w:t>
            </w:r>
          </w:p>
        </w:tc>
        <w:tc>
          <w:tcPr>
            <w:tcW w:w="2130" w:type="dxa"/>
            <w:tcBorders>
              <w:tl2br w:val="nil"/>
              <w:tr2bl w:val="nil"/>
            </w:tcBorders>
            <w:vAlign w:val="center"/>
          </w:tcPr>
          <w:p w14:paraId="3897FE16">
            <w:pPr>
              <w:pStyle w:val="12"/>
              <w:jc w:val="center"/>
              <w:rPr>
                <w:rFonts w:hint="default" w:ascii="Times New Roman" w:hAnsi="Times New Roman" w:eastAsia="仿宋_GB2312" w:cs="Times New Roman"/>
                <w:sz w:val="24"/>
                <w:szCs w:val="24"/>
              </w:rPr>
            </w:pPr>
            <w:r>
              <w:rPr>
                <w:rFonts w:ascii="Times New Roman" w:hAnsi="Times New Roman" w:cs="Times New Roman"/>
                <w:sz w:val="21"/>
                <w:szCs w:val="21"/>
              </w:rPr>
              <w:t>ZL202310154403.0</w:t>
            </w:r>
          </w:p>
        </w:tc>
        <w:tc>
          <w:tcPr>
            <w:tcW w:w="1766" w:type="dxa"/>
            <w:tcBorders>
              <w:tl2br w:val="nil"/>
              <w:tr2bl w:val="nil"/>
            </w:tcBorders>
            <w:vAlign w:val="center"/>
          </w:tcPr>
          <w:p w14:paraId="08099DEA">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国家知识产权局</w:t>
            </w:r>
          </w:p>
        </w:tc>
      </w:tr>
      <w:tr w14:paraId="1BDC3B7B">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8522" w:type="dxa"/>
            <w:gridSpan w:val="5"/>
            <w:tcBorders>
              <w:tl2br w:val="nil"/>
              <w:tr2bl w:val="nil"/>
            </w:tcBorders>
            <w:vAlign w:val="center"/>
          </w:tcPr>
          <w:p w14:paraId="7CCDD778">
            <w:pPr>
              <w:spacing w:line="360" w:lineRule="auto"/>
              <w:rPr>
                <w:rFonts w:hint="eastAsia"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rPr>
              <w:t>提名项目</w:t>
            </w:r>
            <w:r>
              <w:rPr>
                <w:rFonts w:hint="eastAsia" w:ascii="Times New Roman" w:hAnsi="Times New Roman" w:eastAsia="仿宋_GB2312" w:cs="Times New Roman"/>
                <w:b/>
                <w:sz w:val="24"/>
                <w:szCs w:val="24"/>
                <w:lang w:eastAsia="zh-CN"/>
              </w:rPr>
              <w:t>三</w:t>
            </w:r>
          </w:p>
        </w:tc>
      </w:tr>
      <w:tr w14:paraId="7975C926">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39C262F9">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p w14:paraId="179FFCAE">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7373" w:type="dxa"/>
            <w:gridSpan w:val="4"/>
            <w:tcBorders>
              <w:tl2br w:val="nil"/>
              <w:tr2bl w:val="nil"/>
            </w:tcBorders>
            <w:vAlign w:val="center"/>
          </w:tcPr>
          <w:p w14:paraId="68D4366C">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铜铅锌典型固废协同处置与资源化回收关键技术及应用</w:t>
            </w:r>
          </w:p>
        </w:tc>
      </w:tr>
      <w:tr w14:paraId="5F038D12">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1B5B988C">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w:t>
            </w:r>
          </w:p>
          <w:p w14:paraId="355673BE">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7373" w:type="dxa"/>
            <w:gridSpan w:val="4"/>
            <w:tcBorders>
              <w:tl2br w:val="nil"/>
              <w:tr2bl w:val="nil"/>
            </w:tcBorders>
            <w:vAlign w:val="center"/>
          </w:tcPr>
          <w:p w14:paraId="3EA8F331">
            <w:pPr>
              <w:spacing w:line="360" w:lineRule="auto"/>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昆明冶金研究院有限公司、呼伦贝尔驰宏矿业有限公司、易门铜业有限公司、云南驰宏国际锗业有限公司、昆明理工大学</w:t>
            </w:r>
          </w:p>
        </w:tc>
      </w:tr>
      <w:tr w14:paraId="75F1E19B">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tcBorders>
              <w:tl2br w:val="nil"/>
              <w:tr2bl w:val="nil"/>
            </w:tcBorders>
            <w:vAlign w:val="center"/>
          </w:tcPr>
          <w:p w14:paraId="286F278B">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完成人</w:t>
            </w:r>
          </w:p>
        </w:tc>
        <w:tc>
          <w:tcPr>
            <w:tcW w:w="7373" w:type="dxa"/>
            <w:gridSpan w:val="4"/>
            <w:tcBorders>
              <w:tl2br w:val="nil"/>
              <w:tr2bl w:val="nil"/>
            </w:tcBorders>
            <w:vAlign w:val="center"/>
          </w:tcPr>
          <w:p w14:paraId="00B7F7A1">
            <w:pPr>
              <w:spacing w:line="360" w:lineRule="auto"/>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包崇军、陈国木、刘维维、谢庭芳、伏彦雄、邹维、刘黎波、李玥娴、黄大鑫、张阳阳、罗京、熊国焕、侯正超、谢宇、曹正茂</w:t>
            </w:r>
          </w:p>
        </w:tc>
      </w:tr>
      <w:tr w14:paraId="7DBE20EC">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758" w:hRule="atLeast"/>
        </w:trPr>
        <w:tc>
          <w:tcPr>
            <w:tcW w:w="1149" w:type="dxa"/>
            <w:tcBorders>
              <w:tl2br w:val="nil"/>
              <w:tr2bl w:val="nil"/>
            </w:tcBorders>
            <w:vAlign w:val="center"/>
          </w:tcPr>
          <w:p w14:paraId="5F640504">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项目</w:t>
            </w:r>
          </w:p>
          <w:p w14:paraId="633760DE">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简介</w:t>
            </w:r>
          </w:p>
        </w:tc>
        <w:tc>
          <w:tcPr>
            <w:tcW w:w="7373" w:type="dxa"/>
            <w:gridSpan w:val="4"/>
            <w:tcBorders>
              <w:tl2br w:val="nil"/>
              <w:tr2bl w:val="nil"/>
            </w:tcBorders>
            <w:vAlign w:val="center"/>
          </w:tcPr>
          <w:p w14:paraId="3D4606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我国作为全球最大的有色金属生产与消费国，铜、铅、锌冶炼规模常年位居世界首位。冶炼过程中产生大量成分复杂、环境风险高的</w:t>
            </w:r>
            <w:r>
              <w:rPr>
                <w:rFonts w:hint="eastAsia" w:ascii="Times New Roman" w:hAnsi="Times New Roman" w:eastAsia="仿宋_GB2312" w:cs="Times New Roman"/>
                <w:sz w:val="24"/>
                <w:szCs w:val="24"/>
                <w:lang w:val="en-US" w:eastAsia="zh-CN"/>
              </w:rPr>
              <w:t>典型工业</w:t>
            </w:r>
            <w:r>
              <w:rPr>
                <w:rFonts w:hint="default" w:ascii="Times New Roman" w:hAnsi="Times New Roman" w:eastAsia="仿宋_GB2312" w:cs="Times New Roman"/>
                <w:sz w:val="24"/>
                <w:szCs w:val="24"/>
              </w:rPr>
              <w:t>固体废物，传统处置方式普遍存在能耗高、有价金属回收率低、二次污染风险大、资源综合利用效率不高等问题，严重制约了行业高质量绿色可持续发展。</w:t>
            </w:r>
          </w:p>
          <w:p w14:paraId="7F0978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Times New Roman" w:hAnsi="Times New Roman" w:eastAsia="仿宋_GB2312" w:cs="Times New Roman"/>
                <w:sz w:val="24"/>
                <w:szCs w:val="24"/>
                <w:lang w:val="en-US" w:eastAsia="zh-CN"/>
              </w:rPr>
              <w:t>基于上述背景</w:t>
            </w:r>
            <w:r>
              <w:rPr>
                <w:rFonts w:hint="default" w:ascii="Times New Roman" w:hAnsi="Times New Roman" w:eastAsia="仿宋_GB2312" w:cs="Times New Roman"/>
                <w:sz w:val="24"/>
                <w:szCs w:val="24"/>
              </w:rPr>
              <w:t>，昆明</w:t>
            </w:r>
            <w:r>
              <w:rPr>
                <w:rFonts w:hint="eastAsia" w:ascii="Times New Roman" w:hAnsi="Times New Roman" w:eastAsia="仿宋_GB2312" w:cs="Times New Roman"/>
                <w:sz w:val="24"/>
                <w:szCs w:val="24"/>
                <w:lang w:val="en-US" w:eastAsia="zh-CN"/>
              </w:rPr>
              <w:t>冶金研究院有限公司</w:t>
            </w:r>
            <w:r>
              <w:rPr>
                <w:rFonts w:hint="default" w:ascii="Times New Roman" w:hAnsi="Times New Roman" w:eastAsia="仿宋_GB2312" w:cs="Times New Roman"/>
                <w:sz w:val="24"/>
                <w:szCs w:val="24"/>
              </w:rPr>
              <w:t>联合昆明理工大学</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呼伦贝尔驰宏</w:t>
            </w:r>
            <w:r>
              <w:rPr>
                <w:rFonts w:hint="eastAsia" w:ascii="Times New Roman" w:hAnsi="Times New Roman" w:eastAsia="仿宋_GB2312" w:cs="Times New Roman"/>
                <w:sz w:val="24"/>
                <w:szCs w:val="24"/>
                <w:lang w:val="en-US" w:eastAsia="zh-CN"/>
              </w:rPr>
              <w:t>矿业有限公司</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易门铜业</w:t>
            </w:r>
            <w:r>
              <w:rPr>
                <w:rFonts w:hint="eastAsia" w:ascii="Times New Roman" w:hAnsi="Times New Roman" w:eastAsia="仿宋_GB2312" w:cs="Times New Roman"/>
                <w:sz w:val="24"/>
                <w:szCs w:val="24"/>
                <w:lang w:val="en-US" w:eastAsia="zh-CN"/>
              </w:rPr>
              <w:t>有限公司</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云南</w:t>
            </w:r>
            <w:r>
              <w:rPr>
                <w:rFonts w:hint="default" w:ascii="Times New Roman" w:hAnsi="Times New Roman" w:eastAsia="仿宋_GB2312" w:cs="Times New Roman"/>
                <w:sz w:val="24"/>
                <w:szCs w:val="24"/>
                <w:lang w:val="en-US" w:eastAsia="zh-CN"/>
              </w:rPr>
              <w:t>驰宏国际锗业</w:t>
            </w:r>
            <w:r>
              <w:rPr>
                <w:rFonts w:hint="eastAsia" w:ascii="Times New Roman" w:hAnsi="Times New Roman" w:eastAsia="仿宋_GB2312" w:cs="Times New Roman"/>
                <w:sz w:val="24"/>
                <w:szCs w:val="24"/>
                <w:lang w:val="en-US" w:eastAsia="zh-CN"/>
              </w:rPr>
              <w:t>有限公司组建“产学研用”一体化攻关团队</w:t>
            </w:r>
            <w:r>
              <w:rPr>
                <w:rFonts w:hint="default" w:ascii="Times New Roman" w:hAnsi="Times New Roman" w:eastAsia="仿宋_GB2312" w:cs="Times New Roman"/>
                <w:sz w:val="24"/>
                <w:szCs w:val="24"/>
              </w:rPr>
              <w:t>。以</w:t>
            </w:r>
            <w:r>
              <w:rPr>
                <w:rFonts w:hint="eastAsia" w:ascii="Times New Roman" w:hAnsi="Times New Roman" w:eastAsia="仿宋_GB2312" w:cs="Times New Roman"/>
                <w:sz w:val="24"/>
                <w:szCs w:val="24"/>
                <w:lang w:val="en-US" w:eastAsia="zh-CN"/>
              </w:rPr>
              <w:t>冶金固废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源头减量—过程精准调控—末端高值</w:t>
            </w:r>
            <w:r>
              <w:rPr>
                <w:rFonts w:hint="eastAsia" w:ascii="Times New Roman" w:hAnsi="Times New Roman" w:eastAsia="仿宋_GB2312" w:cs="Times New Roman"/>
                <w:sz w:val="24"/>
                <w:szCs w:val="24"/>
                <w:lang w:val="en-US" w:eastAsia="zh-CN"/>
              </w:rPr>
              <w:t>利用</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为核心思路，开展了从</w:t>
            </w:r>
            <w:r>
              <w:rPr>
                <w:rFonts w:hint="eastAsia" w:ascii="Times New Roman" w:hAnsi="Times New Roman" w:eastAsia="仿宋_GB2312" w:cs="Times New Roman"/>
                <w:sz w:val="24"/>
                <w:szCs w:val="24"/>
                <w:lang w:val="en-US" w:eastAsia="zh-CN"/>
              </w:rPr>
              <w:t>基础</w:t>
            </w:r>
            <w:r>
              <w:rPr>
                <w:rFonts w:hint="default" w:ascii="Times New Roman" w:hAnsi="Times New Roman" w:eastAsia="仿宋_GB2312" w:cs="Times New Roman"/>
                <w:sz w:val="24"/>
                <w:szCs w:val="24"/>
              </w:rPr>
              <w:t>理论、关键技术到工程应用的</w:t>
            </w:r>
            <w:r>
              <w:rPr>
                <w:rFonts w:hint="eastAsia" w:ascii="仿宋" w:hAnsi="仿宋" w:eastAsia="仿宋" w:cs="仿宋"/>
                <w:sz w:val="24"/>
                <w:szCs w:val="24"/>
              </w:rPr>
              <w:t>全链条创新研究</w:t>
            </w:r>
            <w:r>
              <w:rPr>
                <w:rFonts w:hint="eastAsia" w:ascii="仿宋" w:hAnsi="仿宋" w:eastAsia="仿宋" w:cs="仿宋"/>
                <w:sz w:val="24"/>
                <w:szCs w:val="24"/>
                <w:lang w:val="en-US" w:eastAsia="zh-CN"/>
              </w:rPr>
              <w:t>，构建铜、铅、锌产业“冶金共生网络”</w:t>
            </w:r>
            <w:r>
              <w:rPr>
                <w:rFonts w:hint="eastAsia" w:ascii="仿宋" w:hAnsi="仿宋" w:eastAsia="仿宋" w:cs="仿宋"/>
                <w:sz w:val="24"/>
                <w:szCs w:val="24"/>
              </w:rPr>
              <w:t>。</w:t>
            </w:r>
          </w:p>
          <w:p w14:paraId="139191F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i w:val="0"/>
                <w:iCs w:val="0"/>
                <w:caps w:val="0"/>
                <w:color w:val="0F1115"/>
                <w:spacing w:val="0"/>
                <w:sz w:val="24"/>
                <w:szCs w:val="24"/>
                <w:shd w:val="clear" w:fill="FFFFFF"/>
                <w:lang w:eastAsia="zh-CN"/>
              </w:rPr>
            </w:pPr>
            <w:r>
              <w:rPr>
                <w:rStyle w:val="8"/>
                <w:rFonts w:hint="eastAsia" w:ascii="仿宋" w:hAnsi="仿宋" w:eastAsia="仿宋" w:cs="仿宋"/>
                <w:b/>
                <w:bCs/>
                <w:i w:val="0"/>
                <w:iCs w:val="0"/>
                <w:caps w:val="0"/>
                <w:color w:val="0F1115"/>
                <w:spacing w:val="0"/>
                <w:sz w:val="24"/>
                <w:szCs w:val="24"/>
                <w:shd w:val="clear" w:fill="FFFFFF"/>
                <w:lang w:eastAsia="zh-CN"/>
              </w:rPr>
              <w:t>（</w:t>
            </w:r>
            <w:r>
              <w:rPr>
                <w:rStyle w:val="8"/>
                <w:rFonts w:hint="eastAsia" w:ascii="仿宋" w:hAnsi="仿宋" w:eastAsia="仿宋" w:cs="仿宋"/>
                <w:b/>
                <w:bCs/>
                <w:i w:val="0"/>
                <w:iCs w:val="0"/>
                <w:caps w:val="0"/>
                <w:color w:val="0F1115"/>
                <w:spacing w:val="0"/>
                <w:sz w:val="24"/>
                <w:szCs w:val="24"/>
                <w:shd w:val="clear" w:fill="FFFFFF"/>
                <w:lang w:val="en-US" w:eastAsia="zh-CN"/>
              </w:rPr>
              <w:t>1</w:t>
            </w:r>
            <w:r>
              <w:rPr>
                <w:rStyle w:val="8"/>
                <w:rFonts w:hint="eastAsia" w:ascii="仿宋" w:hAnsi="仿宋" w:eastAsia="仿宋" w:cs="仿宋"/>
                <w:b/>
                <w:bCs/>
                <w:i w:val="0"/>
                <w:iCs w:val="0"/>
                <w:caps w:val="0"/>
                <w:color w:val="0F1115"/>
                <w:spacing w:val="0"/>
                <w:sz w:val="24"/>
                <w:szCs w:val="24"/>
                <w:shd w:val="clear" w:fill="FFFFFF"/>
                <w:lang w:eastAsia="zh-CN"/>
              </w:rPr>
              <w:t>）开发了含铜渣料与原生精矿协同混配的清洁熔炼技术。</w:t>
            </w:r>
            <w:r>
              <w:rPr>
                <w:rFonts w:hint="eastAsia" w:ascii="仿宋" w:hAnsi="仿宋" w:eastAsia="仿宋" w:cs="仿宋"/>
                <w:i w:val="0"/>
                <w:iCs w:val="0"/>
                <w:caps w:val="0"/>
                <w:spacing w:val="0"/>
                <w:sz w:val="24"/>
                <w:szCs w:val="24"/>
                <w:shd w:val="clear"/>
              </w:rPr>
              <w:t>构建了基于三层核心模型的多源含铜渣料混配理论</w:t>
            </w:r>
            <w:r>
              <w:rPr>
                <w:rFonts w:hint="eastAsia" w:ascii="仿宋" w:hAnsi="仿宋" w:eastAsia="仿宋" w:cs="仿宋"/>
                <w:i w:val="0"/>
                <w:iCs w:val="0"/>
                <w:caps w:val="0"/>
                <w:spacing w:val="0"/>
                <w:sz w:val="24"/>
                <w:szCs w:val="24"/>
                <w:shd w:val="clear"/>
                <w:lang w:eastAsia="zh-CN"/>
              </w:rPr>
              <w:t>、“</w:t>
            </w:r>
            <w:r>
              <w:rPr>
                <w:rFonts w:hint="eastAsia" w:ascii="仿宋" w:hAnsi="仿宋" w:eastAsia="仿宋" w:cs="仿宋"/>
                <w:i w:val="0"/>
                <w:iCs w:val="0"/>
                <w:caps w:val="0"/>
                <w:spacing w:val="0"/>
                <w:sz w:val="24"/>
                <w:szCs w:val="24"/>
                <w:shd w:val="clear"/>
              </w:rPr>
              <w:t>元素-物相</w:t>
            </w:r>
            <w:r>
              <w:rPr>
                <w:rFonts w:hint="eastAsia" w:ascii="仿宋" w:hAnsi="仿宋" w:eastAsia="仿宋" w:cs="仿宋"/>
                <w:i w:val="0"/>
                <w:iCs w:val="0"/>
                <w:caps w:val="0"/>
                <w:spacing w:val="0"/>
                <w:sz w:val="24"/>
                <w:szCs w:val="24"/>
                <w:shd w:val="clear"/>
                <w:lang w:eastAsia="zh-CN"/>
              </w:rPr>
              <w:t>”</w:t>
            </w:r>
            <w:r>
              <w:rPr>
                <w:rFonts w:hint="eastAsia" w:ascii="仿宋" w:hAnsi="仿宋" w:eastAsia="仿宋" w:cs="仿宋"/>
                <w:i w:val="0"/>
                <w:iCs w:val="0"/>
                <w:caps w:val="0"/>
                <w:spacing w:val="0"/>
                <w:sz w:val="24"/>
                <w:szCs w:val="24"/>
                <w:shd w:val="clear"/>
              </w:rPr>
              <w:t>匹配模型</w:t>
            </w:r>
            <w:r>
              <w:rPr>
                <w:rFonts w:hint="eastAsia" w:ascii="仿宋" w:hAnsi="仿宋" w:eastAsia="仿宋" w:cs="仿宋"/>
                <w:i w:val="0"/>
                <w:iCs w:val="0"/>
                <w:caps w:val="0"/>
                <w:spacing w:val="0"/>
                <w:sz w:val="24"/>
                <w:szCs w:val="24"/>
                <w:shd w:val="clear"/>
                <w:lang w:eastAsia="zh-CN"/>
              </w:rPr>
              <w:t>，</w:t>
            </w:r>
            <w:r>
              <w:rPr>
                <w:rFonts w:hint="eastAsia" w:ascii="仿宋" w:hAnsi="仿宋" w:eastAsia="仿宋" w:cs="仿宋"/>
                <w:i w:val="0"/>
                <w:iCs w:val="0"/>
                <w:caps w:val="0"/>
                <w:spacing w:val="0"/>
                <w:sz w:val="24"/>
                <w:szCs w:val="24"/>
                <w:shd w:val="clear"/>
                <w:lang w:val="en-US" w:eastAsia="zh-CN"/>
              </w:rPr>
              <w:t>建立</w:t>
            </w:r>
            <w:r>
              <w:rPr>
                <w:rFonts w:hint="eastAsia" w:ascii="仿宋" w:hAnsi="仿宋" w:eastAsia="仿宋" w:cs="仿宋"/>
                <w:b w:val="0"/>
                <w:bCs w:val="0"/>
                <w:sz w:val="24"/>
                <w:szCs w:val="24"/>
                <w:shd w:val="clear"/>
              </w:rPr>
              <w:t>物料输入-物料平衡-热平衡联动计算模型</w:t>
            </w:r>
            <w:r>
              <w:rPr>
                <w:rFonts w:hint="eastAsia" w:ascii="仿宋" w:hAnsi="仿宋" w:eastAsia="仿宋" w:cs="仿宋"/>
                <w:i w:val="0"/>
                <w:iCs w:val="0"/>
                <w:caps w:val="0"/>
                <w:spacing w:val="0"/>
                <w:sz w:val="24"/>
                <w:szCs w:val="24"/>
                <w:shd w:val="clear"/>
              </w:rPr>
              <w:t>，为含铜渣料与原生精矿协同处置提供理论支撑</w:t>
            </w:r>
            <w:r>
              <w:rPr>
                <w:rFonts w:hint="eastAsia" w:ascii="仿宋" w:hAnsi="仿宋" w:eastAsia="仿宋" w:cs="仿宋"/>
                <w:i w:val="0"/>
                <w:iCs w:val="0"/>
                <w:caps w:val="0"/>
                <w:spacing w:val="0"/>
                <w:sz w:val="24"/>
                <w:szCs w:val="24"/>
                <w:shd w:val="clear"/>
                <w:lang w:eastAsia="zh-CN"/>
              </w:rPr>
              <w:t>；开发多源含铜渣料的复杂原料配料-熔炼协同优化技术，</w:t>
            </w:r>
            <w:r>
              <w:rPr>
                <w:rFonts w:hint="eastAsia" w:ascii="仿宋" w:hAnsi="仿宋" w:eastAsia="仿宋" w:cs="仿宋"/>
                <w:i w:val="0"/>
                <w:iCs w:val="0"/>
                <w:caps w:val="0"/>
                <w:spacing w:val="0"/>
                <w:sz w:val="24"/>
                <w:szCs w:val="24"/>
                <w:shd w:val="clear"/>
                <w:lang w:val="en-US" w:eastAsia="zh-CN"/>
              </w:rPr>
              <w:t>实现</w:t>
            </w:r>
            <w:r>
              <w:rPr>
                <w:rFonts w:hint="eastAsia" w:ascii="仿宋" w:hAnsi="仿宋" w:eastAsia="仿宋" w:cs="仿宋"/>
                <w:i w:val="0"/>
                <w:iCs w:val="0"/>
                <w:caps w:val="0"/>
                <w:spacing w:val="0"/>
                <w:sz w:val="24"/>
                <w:szCs w:val="24"/>
                <w:shd w:val="clear"/>
              </w:rPr>
              <w:t>含铜渣料与原生精矿协同混配的清洁熔炼</w:t>
            </w:r>
            <w:r>
              <w:rPr>
                <w:rFonts w:hint="eastAsia" w:ascii="仿宋" w:hAnsi="仿宋" w:eastAsia="仿宋" w:cs="仿宋"/>
                <w:i w:val="0"/>
                <w:iCs w:val="0"/>
                <w:caps w:val="0"/>
                <w:spacing w:val="0"/>
                <w:sz w:val="24"/>
                <w:szCs w:val="24"/>
                <w:shd w:val="clear"/>
                <w:lang w:eastAsia="zh-CN"/>
              </w:rPr>
              <w:t>。</w:t>
            </w:r>
          </w:p>
          <w:p w14:paraId="1D69E724">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i w:val="0"/>
                <w:iCs w:val="0"/>
                <w:caps w:val="0"/>
                <w:color w:val="0F1115"/>
                <w:spacing w:val="0"/>
                <w:sz w:val="24"/>
                <w:szCs w:val="24"/>
                <w:shd w:val="clear" w:fill="FFFFFF"/>
              </w:rPr>
            </w:pPr>
            <w:r>
              <w:rPr>
                <w:rStyle w:val="8"/>
                <w:rFonts w:hint="eastAsia" w:ascii="仿宋" w:hAnsi="仿宋" w:eastAsia="仿宋" w:cs="仿宋"/>
                <w:b/>
                <w:bCs/>
                <w:i w:val="0"/>
                <w:iCs w:val="0"/>
                <w:caps w:val="0"/>
                <w:color w:val="0F1115"/>
                <w:spacing w:val="0"/>
                <w:sz w:val="24"/>
                <w:szCs w:val="24"/>
                <w:shd w:val="clear" w:fill="FFFFFF"/>
              </w:rPr>
              <w:t>发明了铅冶炼协同处置含锌渣料关键技术</w:t>
            </w:r>
            <w:r>
              <w:rPr>
                <w:rFonts w:hint="eastAsia" w:ascii="仿宋" w:hAnsi="仿宋" w:eastAsia="仿宋" w:cs="仿宋"/>
                <w:i w:val="0"/>
                <w:iCs w:val="0"/>
                <w:caps w:val="0"/>
                <w:color w:val="0F1115"/>
                <w:spacing w:val="0"/>
                <w:sz w:val="24"/>
                <w:szCs w:val="24"/>
                <w:shd w:val="clear" w:fill="FFFFFF"/>
                <w:lang w:eastAsia="zh-CN"/>
              </w:rPr>
              <w:t>。</w:t>
            </w:r>
            <w:r>
              <w:rPr>
                <w:rFonts w:hint="eastAsia" w:ascii="仿宋" w:hAnsi="仿宋" w:eastAsia="仿宋" w:cs="仿宋"/>
                <w:color w:val="000000"/>
                <w:kern w:val="0"/>
                <w:sz w:val="24"/>
                <w:szCs w:val="24"/>
                <w:lang w:val="en-US" w:eastAsia="zh-CN" w:bidi="ar"/>
              </w:rPr>
              <w:t>建立“富氧顶吹氧化熔炼—侧吹还原熔炼—烟化炉吹炼”三联炉处置含锌渣料技术体系，</w:t>
            </w:r>
            <w:r>
              <w:rPr>
                <w:rFonts w:hint="default" w:ascii="仿宋" w:hAnsi="仿宋" w:eastAsia="仿宋" w:cs="仿宋"/>
                <w:color w:val="000000"/>
                <w:kern w:val="0"/>
                <w:sz w:val="24"/>
                <w:szCs w:val="24"/>
                <w:lang w:val="en-US" w:eastAsia="zh-CN" w:bidi="ar"/>
              </w:rPr>
              <w:t>创新构建铅锌冶炼“冶金共生网络”，破解了锌浸出渣无害化处置与有价元素提取回收的技术瓶颈，</w:t>
            </w:r>
            <w:r>
              <w:rPr>
                <w:rFonts w:hint="eastAsia" w:ascii="仿宋" w:hAnsi="仿宋" w:eastAsia="仿宋" w:cs="仿宋"/>
                <w:color w:val="000000"/>
                <w:kern w:val="0"/>
                <w:sz w:val="24"/>
                <w:szCs w:val="24"/>
                <w:lang w:val="en-US" w:eastAsia="zh-CN" w:bidi="ar"/>
              </w:rPr>
              <w:t>形成锌冶炼多源锌浸渣与铅冶炼的协同处理技术体系，实现节能</w:t>
            </w:r>
            <w:r>
              <w:rPr>
                <w:rFonts w:hint="default" w:ascii="仿宋" w:hAnsi="仿宋" w:eastAsia="仿宋" w:cs="仿宋"/>
                <w:color w:val="000000"/>
                <w:kern w:val="0"/>
                <w:sz w:val="24"/>
                <w:szCs w:val="24"/>
                <w:lang w:val="en-US" w:eastAsia="zh-CN" w:bidi="ar"/>
              </w:rPr>
              <w:t>减排与资源再生</w:t>
            </w:r>
            <w:r>
              <w:rPr>
                <w:rFonts w:hint="eastAsia" w:ascii="仿宋" w:hAnsi="仿宋" w:eastAsia="仿宋" w:cs="仿宋"/>
                <w:color w:val="000000"/>
                <w:kern w:val="0"/>
                <w:sz w:val="24"/>
                <w:szCs w:val="24"/>
                <w:lang w:val="en-US" w:eastAsia="zh-CN" w:bidi="ar"/>
              </w:rPr>
              <w:t>利用</w:t>
            </w:r>
            <w:r>
              <w:rPr>
                <w:rFonts w:hint="default" w:ascii="仿宋" w:hAnsi="仿宋" w:eastAsia="仿宋" w:cs="仿宋"/>
                <w:color w:val="000000"/>
                <w:kern w:val="0"/>
                <w:sz w:val="24"/>
                <w:szCs w:val="24"/>
                <w:lang w:val="en-US" w:eastAsia="zh-CN" w:bidi="ar"/>
              </w:rPr>
              <w:t>的双重突破</w:t>
            </w:r>
            <w:r>
              <w:rPr>
                <w:rFonts w:hint="eastAsia" w:ascii="仿宋" w:hAnsi="仿宋" w:eastAsia="仿宋" w:cs="仿宋"/>
                <w:color w:val="000000"/>
                <w:kern w:val="0"/>
                <w:sz w:val="24"/>
                <w:szCs w:val="24"/>
                <w:lang w:val="en-US" w:eastAsia="zh-CN" w:bidi="ar"/>
              </w:rPr>
              <w:t>，有效降低了锌冶炼多源危废渣的环保风险。</w:t>
            </w:r>
          </w:p>
          <w:p w14:paraId="21F673E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sz w:val="24"/>
                <w:szCs w:val="24"/>
              </w:rPr>
            </w:pPr>
            <w:r>
              <w:rPr>
                <w:rFonts w:hint="eastAsia" w:ascii="仿宋" w:hAnsi="仿宋" w:eastAsia="仿宋" w:cs="仿宋"/>
                <w:b/>
                <w:bCs/>
                <w:i w:val="0"/>
                <w:iCs w:val="0"/>
                <w:caps w:val="0"/>
                <w:strike w:val="0"/>
                <w:dstrike w:val="0"/>
                <w:color w:val="0F1115"/>
                <w:spacing w:val="0"/>
                <w:sz w:val="24"/>
                <w:szCs w:val="24"/>
                <w:shd w:val="clear" w:fill="FFFFFF"/>
                <w:lang w:val="en-US" w:eastAsia="zh-CN"/>
              </w:rPr>
              <w:t>开发了</w:t>
            </w:r>
            <w:r>
              <w:rPr>
                <w:rFonts w:hint="eastAsia" w:ascii="仿宋" w:hAnsi="仿宋" w:eastAsia="仿宋" w:cs="仿宋"/>
                <w:b/>
                <w:bCs/>
                <w:i w:val="0"/>
                <w:iCs w:val="0"/>
                <w:caps w:val="0"/>
                <w:color w:val="0F1115"/>
                <w:spacing w:val="0"/>
                <w:sz w:val="24"/>
                <w:szCs w:val="24"/>
                <w:shd w:val="clear" w:fill="FFFFFF"/>
                <w:lang w:eastAsia="zh-CN"/>
              </w:rPr>
              <w:t>铜铅锌冶炼渣有价组分高效分离与高值利用技术。</w:t>
            </w:r>
            <w:r>
              <w:rPr>
                <w:rStyle w:val="8"/>
                <w:rFonts w:hint="eastAsia" w:ascii="仿宋" w:hAnsi="仿宋" w:eastAsia="仿宋" w:cs="仿宋"/>
                <w:b w:val="0"/>
                <w:bCs w:val="0"/>
                <w:i w:val="0"/>
                <w:iCs w:val="0"/>
                <w:caps w:val="0"/>
                <w:color w:val="0F1115"/>
                <w:spacing w:val="0"/>
                <w:sz w:val="24"/>
                <w:szCs w:val="24"/>
                <w:shd w:val="clear" w:fill="FFFFFF"/>
                <w:lang w:val="en-US" w:eastAsia="zh-CN"/>
              </w:rPr>
              <w:t>开发高硫锌渣“定</w:t>
            </w:r>
            <w:r>
              <w:rPr>
                <w:rStyle w:val="8"/>
                <w:rFonts w:hint="eastAsia" w:ascii="仿宋" w:hAnsi="仿宋" w:eastAsia="仿宋" w:cs="仿宋"/>
                <w:b w:val="0"/>
                <w:bCs w:val="0"/>
                <w:color w:val="0F1115"/>
                <w:sz w:val="24"/>
                <w:szCs w:val="24"/>
                <w:shd w:val="clear" w:fill="FFFFFF"/>
                <w:lang w:val="en-US" w:eastAsia="zh-CN"/>
              </w:rPr>
              <w:t>向浮选—活化熔融提纯”集成技术、铜渣“解离+反磁选”单质铜分选技术；发明了超声波强化-H</w:t>
            </w:r>
            <w:r>
              <w:rPr>
                <w:rStyle w:val="8"/>
                <w:rFonts w:hint="eastAsia" w:ascii="仿宋" w:hAnsi="仿宋" w:eastAsia="仿宋" w:cs="仿宋"/>
                <w:b w:val="0"/>
                <w:bCs w:val="0"/>
                <w:color w:val="0F1115"/>
                <w:sz w:val="24"/>
                <w:szCs w:val="24"/>
                <w:shd w:val="clear" w:fill="FFFFFF"/>
                <w:vertAlign w:val="superscript"/>
                <w:lang w:val="en-US" w:eastAsia="zh-CN"/>
              </w:rPr>
              <w:t>+</w:t>
            </w:r>
            <w:r>
              <w:rPr>
                <w:rStyle w:val="8"/>
                <w:rFonts w:hint="eastAsia" w:ascii="仿宋" w:hAnsi="仿宋" w:eastAsia="仿宋" w:cs="仿宋"/>
                <w:b w:val="0"/>
                <w:bCs w:val="0"/>
                <w:color w:val="0F1115"/>
                <w:sz w:val="24"/>
                <w:szCs w:val="24"/>
                <w:shd w:val="clear" w:fill="FFFFFF"/>
                <w:lang w:val="en-US" w:eastAsia="zh-CN"/>
              </w:rPr>
              <w:t>/O</w:t>
            </w:r>
            <w:r>
              <w:rPr>
                <w:rStyle w:val="8"/>
                <w:rFonts w:hint="eastAsia" w:ascii="仿宋" w:hAnsi="仿宋" w:eastAsia="仿宋" w:cs="仿宋"/>
                <w:b w:val="0"/>
                <w:bCs w:val="0"/>
                <w:color w:val="0F1115"/>
                <w:sz w:val="24"/>
                <w:szCs w:val="24"/>
                <w:shd w:val="clear" w:fill="FFFFFF"/>
                <w:vertAlign w:val="subscript"/>
                <w:lang w:val="en-US" w:eastAsia="zh-CN"/>
              </w:rPr>
              <w:t>2</w:t>
            </w:r>
            <w:r>
              <w:rPr>
                <w:rStyle w:val="8"/>
                <w:rFonts w:hint="eastAsia" w:ascii="仿宋" w:hAnsi="仿宋" w:eastAsia="仿宋" w:cs="仿宋"/>
                <w:b w:val="0"/>
                <w:bCs w:val="0"/>
                <w:color w:val="0F1115"/>
                <w:sz w:val="24"/>
                <w:szCs w:val="24"/>
                <w:shd w:val="clear" w:fill="FFFFFF"/>
                <w:lang w:val="en-US" w:eastAsia="zh-CN"/>
              </w:rPr>
              <w:t>双重调控梯级浸出锗、浸出液非有机体系富集回收锗、高品质四氯化锗“萃取-催化-精馏提纯-超声悬浮水解”制备超高纯GeO</w:t>
            </w:r>
            <w:r>
              <w:rPr>
                <w:rStyle w:val="8"/>
                <w:rFonts w:hint="eastAsia" w:ascii="仿宋" w:hAnsi="仿宋" w:eastAsia="仿宋" w:cs="仿宋"/>
                <w:b w:val="0"/>
                <w:bCs w:val="0"/>
                <w:color w:val="0F1115"/>
                <w:sz w:val="24"/>
                <w:szCs w:val="24"/>
                <w:shd w:val="clear" w:fill="FFFFFF"/>
                <w:vertAlign w:val="subscript"/>
                <w:lang w:val="en-US" w:eastAsia="zh-CN"/>
              </w:rPr>
              <w:t>2</w:t>
            </w:r>
            <w:r>
              <w:rPr>
                <w:rStyle w:val="8"/>
                <w:rFonts w:hint="eastAsia" w:ascii="仿宋" w:hAnsi="仿宋" w:eastAsia="仿宋" w:cs="仿宋"/>
                <w:b w:val="0"/>
                <w:bCs w:val="0"/>
                <w:color w:val="0F1115"/>
                <w:sz w:val="24"/>
                <w:szCs w:val="24"/>
                <w:shd w:val="clear" w:fill="FFFFFF"/>
                <w:vertAlign w:val="baseline"/>
                <w:lang w:val="en-US" w:eastAsia="zh-CN"/>
              </w:rPr>
              <w:t>等</w:t>
            </w:r>
            <w:r>
              <w:rPr>
                <w:rStyle w:val="8"/>
                <w:rFonts w:hint="eastAsia" w:ascii="仿宋" w:hAnsi="仿宋" w:eastAsia="仿宋" w:cs="仿宋"/>
                <w:b w:val="0"/>
                <w:bCs w:val="0"/>
                <w:color w:val="0F1115"/>
                <w:sz w:val="24"/>
                <w:szCs w:val="24"/>
                <w:shd w:val="clear" w:fill="FFFFFF"/>
                <w:lang w:val="en-US" w:eastAsia="zh-CN"/>
              </w:rPr>
              <w:t>新技术集群，</w:t>
            </w:r>
            <w:r>
              <w:rPr>
                <w:rStyle w:val="8"/>
                <w:rFonts w:hint="default" w:ascii="仿宋" w:hAnsi="仿宋" w:eastAsia="仿宋" w:cs="仿宋"/>
                <w:b w:val="0"/>
                <w:bCs w:val="0"/>
                <w:color w:val="0F1115"/>
                <w:sz w:val="24"/>
                <w:szCs w:val="24"/>
                <w:shd w:val="clear" w:fill="FFFFFF"/>
                <w:lang w:val="en-US" w:eastAsia="zh-CN"/>
              </w:rPr>
              <w:t>攻克</w:t>
            </w:r>
            <w:r>
              <w:rPr>
                <w:rStyle w:val="8"/>
                <w:rFonts w:hint="eastAsia" w:ascii="仿宋" w:hAnsi="仿宋" w:eastAsia="仿宋" w:cs="仿宋"/>
                <w:b w:val="0"/>
                <w:bCs w:val="0"/>
                <w:color w:val="0F1115"/>
                <w:sz w:val="24"/>
                <w:szCs w:val="24"/>
                <w:shd w:val="clear" w:fill="FFFFFF"/>
                <w:lang w:val="en-US" w:eastAsia="zh-CN"/>
              </w:rPr>
              <w:t>锌</w:t>
            </w:r>
            <w:r>
              <w:rPr>
                <w:rStyle w:val="8"/>
                <w:rFonts w:hint="default" w:ascii="仿宋" w:hAnsi="仿宋" w:eastAsia="仿宋" w:cs="仿宋"/>
                <w:b w:val="0"/>
                <w:bCs w:val="0"/>
                <w:color w:val="0F1115"/>
                <w:sz w:val="24"/>
                <w:szCs w:val="24"/>
                <w:shd w:val="clear" w:fill="FFFFFF"/>
                <w:lang w:val="en-US" w:eastAsia="zh-CN"/>
              </w:rPr>
              <w:t>冶炼渣有价组分高效分离与高值利用技术瓶颈，构建</w:t>
            </w:r>
            <w:r>
              <w:rPr>
                <w:rStyle w:val="8"/>
                <w:rFonts w:hint="eastAsia" w:ascii="仿宋" w:hAnsi="仿宋" w:eastAsia="仿宋" w:cs="仿宋"/>
                <w:b w:val="0"/>
                <w:bCs w:val="0"/>
                <w:color w:val="0F1115"/>
                <w:sz w:val="24"/>
                <w:szCs w:val="24"/>
                <w:shd w:val="clear" w:fill="FFFFFF"/>
                <w:lang w:val="en-US" w:eastAsia="zh-CN"/>
              </w:rPr>
              <w:t>铜</w:t>
            </w:r>
            <w:r>
              <w:rPr>
                <w:rStyle w:val="8"/>
                <w:rFonts w:hint="default" w:ascii="仿宋" w:hAnsi="仿宋" w:eastAsia="仿宋" w:cs="仿宋"/>
                <w:b w:val="0"/>
                <w:bCs w:val="0"/>
                <w:color w:val="0F1115"/>
                <w:sz w:val="24"/>
                <w:szCs w:val="24"/>
                <w:shd w:val="clear" w:fill="FFFFFF"/>
                <w:lang w:val="en-US" w:eastAsia="zh-CN"/>
              </w:rPr>
              <w:t>、</w:t>
            </w:r>
            <w:r>
              <w:rPr>
                <w:rStyle w:val="8"/>
                <w:rFonts w:hint="eastAsia" w:ascii="仿宋" w:hAnsi="仿宋" w:eastAsia="仿宋" w:cs="仿宋"/>
                <w:b w:val="0"/>
                <w:bCs w:val="0"/>
                <w:color w:val="0F1115"/>
                <w:sz w:val="24"/>
                <w:szCs w:val="24"/>
                <w:shd w:val="clear" w:fill="FFFFFF"/>
                <w:lang w:val="en-US" w:eastAsia="zh-CN"/>
              </w:rPr>
              <w:t>铅</w:t>
            </w:r>
            <w:r>
              <w:rPr>
                <w:rStyle w:val="8"/>
                <w:rFonts w:hint="default" w:ascii="仿宋" w:hAnsi="仿宋" w:eastAsia="仿宋" w:cs="仿宋"/>
                <w:b w:val="0"/>
                <w:bCs w:val="0"/>
                <w:color w:val="0F1115"/>
                <w:sz w:val="24"/>
                <w:szCs w:val="24"/>
                <w:shd w:val="clear" w:fill="FFFFFF"/>
                <w:lang w:val="en-US" w:eastAsia="zh-CN"/>
              </w:rPr>
              <w:t>、</w:t>
            </w:r>
            <w:r>
              <w:rPr>
                <w:rStyle w:val="8"/>
                <w:rFonts w:hint="eastAsia" w:ascii="仿宋" w:hAnsi="仿宋" w:eastAsia="仿宋" w:cs="仿宋"/>
                <w:b w:val="0"/>
                <w:bCs w:val="0"/>
                <w:color w:val="0F1115"/>
                <w:sz w:val="24"/>
                <w:szCs w:val="24"/>
                <w:shd w:val="clear" w:fill="FFFFFF"/>
                <w:lang w:val="en-US" w:eastAsia="zh-CN"/>
              </w:rPr>
              <w:t>锌</w:t>
            </w:r>
            <w:r>
              <w:rPr>
                <w:rStyle w:val="8"/>
                <w:rFonts w:hint="default" w:ascii="仿宋" w:hAnsi="仿宋" w:eastAsia="仿宋" w:cs="仿宋"/>
                <w:b w:val="0"/>
                <w:bCs w:val="0"/>
                <w:color w:val="0F1115"/>
                <w:sz w:val="24"/>
                <w:szCs w:val="24"/>
                <w:shd w:val="clear" w:fill="FFFFFF"/>
                <w:lang w:val="en-US" w:eastAsia="zh-CN"/>
              </w:rPr>
              <w:t>、</w:t>
            </w:r>
            <w:r>
              <w:rPr>
                <w:rStyle w:val="8"/>
                <w:rFonts w:hint="eastAsia" w:ascii="仿宋" w:hAnsi="仿宋" w:eastAsia="仿宋" w:cs="仿宋"/>
                <w:b w:val="0"/>
                <w:bCs w:val="0"/>
                <w:color w:val="0F1115"/>
                <w:sz w:val="24"/>
                <w:szCs w:val="24"/>
                <w:shd w:val="clear" w:fill="FFFFFF"/>
                <w:lang w:val="en-US" w:eastAsia="zh-CN"/>
              </w:rPr>
              <w:t>锗、硫</w:t>
            </w:r>
            <w:r>
              <w:rPr>
                <w:rStyle w:val="8"/>
                <w:rFonts w:hint="default" w:ascii="仿宋" w:hAnsi="仿宋" w:eastAsia="仿宋" w:cs="仿宋"/>
                <w:b w:val="0"/>
                <w:bCs w:val="0"/>
                <w:color w:val="0F1115"/>
                <w:sz w:val="24"/>
                <w:szCs w:val="24"/>
                <w:shd w:val="clear" w:fill="FFFFFF"/>
                <w:lang w:val="en-US" w:eastAsia="zh-CN"/>
              </w:rPr>
              <w:t>等多</w:t>
            </w:r>
            <w:r>
              <w:rPr>
                <w:rStyle w:val="8"/>
                <w:rFonts w:hint="eastAsia" w:ascii="仿宋" w:hAnsi="仿宋" w:eastAsia="仿宋" w:cs="仿宋"/>
                <w:b w:val="0"/>
                <w:bCs w:val="0"/>
                <w:color w:val="0F1115"/>
                <w:sz w:val="24"/>
                <w:szCs w:val="24"/>
                <w:shd w:val="clear" w:fill="FFFFFF"/>
                <w:lang w:val="en-US" w:eastAsia="zh-CN"/>
              </w:rPr>
              <w:t>元组分</w:t>
            </w:r>
            <w:r>
              <w:rPr>
                <w:rStyle w:val="8"/>
                <w:rFonts w:hint="default" w:ascii="仿宋" w:hAnsi="仿宋" w:eastAsia="仿宋" w:cs="仿宋"/>
                <w:b w:val="0"/>
                <w:bCs w:val="0"/>
                <w:color w:val="0F1115"/>
                <w:sz w:val="24"/>
                <w:szCs w:val="24"/>
                <w:shd w:val="clear" w:fill="FFFFFF"/>
                <w:lang w:val="en-US" w:eastAsia="zh-CN"/>
              </w:rPr>
              <w:t>梯级</w:t>
            </w:r>
            <w:r>
              <w:rPr>
                <w:rStyle w:val="8"/>
                <w:rFonts w:hint="eastAsia" w:ascii="仿宋" w:hAnsi="仿宋" w:eastAsia="仿宋" w:cs="仿宋"/>
                <w:b w:val="0"/>
                <w:bCs w:val="0"/>
                <w:color w:val="0F1115"/>
                <w:sz w:val="24"/>
                <w:szCs w:val="24"/>
                <w:shd w:val="clear" w:fill="FFFFFF"/>
                <w:lang w:val="en-US" w:eastAsia="zh-CN"/>
              </w:rPr>
              <w:t>分离</w:t>
            </w:r>
            <w:r>
              <w:rPr>
                <w:rStyle w:val="8"/>
                <w:rFonts w:hint="default" w:ascii="仿宋" w:hAnsi="仿宋" w:eastAsia="仿宋" w:cs="仿宋"/>
                <w:b w:val="0"/>
                <w:bCs w:val="0"/>
                <w:color w:val="0F1115"/>
                <w:sz w:val="24"/>
                <w:szCs w:val="24"/>
                <w:shd w:val="clear" w:fill="FFFFFF"/>
                <w:lang w:val="en-US" w:eastAsia="zh-CN"/>
              </w:rPr>
              <w:t>与近零排放</w:t>
            </w:r>
            <w:r>
              <w:rPr>
                <w:rStyle w:val="8"/>
                <w:rFonts w:hint="eastAsia" w:ascii="仿宋" w:hAnsi="仿宋" w:eastAsia="仿宋" w:cs="仿宋"/>
                <w:b w:val="0"/>
                <w:bCs w:val="0"/>
                <w:color w:val="0F1115"/>
                <w:sz w:val="24"/>
                <w:szCs w:val="24"/>
                <w:shd w:val="clear" w:fill="FFFFFF"/>
                <w:lang w:val="en-US" w:eastAsia="zh-CN"/>
              </w:rPr>
              <w:t>技术</w:t>
            </w:r>
            <w:r>
              <w:rPr>
                <w:rStyle w:val="8"/>
                <w:rFonts w:hint="default" w:ascii="仿宋" w:hAnsi="仿宋" w:eastAsia="仿宋" w:cs="仿宋"/>
                <w:b w:val="0"/>
                <w:bCs w:val="0"/>
                <w:color w:val="0F1115"/>
                <w:sz w:val="24"/>
                <w:szCs w:val="24"/>
                <w:shd w:val="clear" w:fill="FFFFFF"/>
                <w:lang w:val="en-US" w:eastAsia="zh-CN"/>
              </w:rPr>
              <w:t>体系，实现有害元素稳定化和资源高值化利用。</w:t>
            </w:r>
          </w:p>
        </w:tc>
      </w:tr>
      <w:tr w14:paraId="3C1A4E44">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9" w:hRule="atLeast"/>
        </w:trPr>
        <w:tc>
          <w:tcPr>
            <w:tcW w:w="1149" w:type="dxa"/>
            <w:vMerge w:val="restart"/>
            <w:tcBorders>
              <w:tl2br w:val="nil"/>
              <w:tr2bl w:val="nil"/>
            </w:tcBorders>
            <w:vAlign w:val="center"/>
          </w:tcPr>
          <w:p w14:paraId="49459258">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知识</w:t>
            </w:r>
          </w:p>
          <w:p w14:paraId="3A775716">
            <w:pPr>
              <w:spacing w:line="36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产权</w:t>
            </w:r>
          </w:p>
          <w:p w14:paraId="02424CC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情况</w:t>
            </w:r>
          </w:p>
        </w:tc>
        <w:tc>
          <w:tcPr>
            <w:tcW w:w="1752" w:type="dxa"/>
            <w:vMerge w:val="restart"/>
            <w:tcBorders>
              <w:tl2br w:val="nil"/>
              <w:tr2bl w:val="nil"/>
            </w:tcBorders>
            <w:vAlign w:val="center"/>
          </w:tcPr>
          <w:p w14:paraId="1FC9C605">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知识产权</w:t>
            </w:r>
          </w:p>
          <w:p w14:paraId="3CBD50F6">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（标准）类别</w:t>
            </w:r>
          </w:p>
        </w:tc>
        <w:tc>
          <w:tcPr>
            <w:tcW w:w="1725" w:type="dxa"/>
            <w:vMerge w:val="restart"/>
            <w:tcBorders>
              <w:tl2br w:val="nil"/>
              <w:tr2bl w:val="nil"/>
            </w:tcBorders>
            <w:vAlign w:val="center"/>
          </w:tcPr>
          <w:p w14:paraId="36C0B7C4">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知识产权（标准）具体名称</w:t>
            </w:r>
          </w:p>
        </w:tc>
        <w:tc>
          <w:tcPr>
            <w:tcW w:w="2130" w:type="dxa"/>
            <w:vMerge w:val="restart"/>
            <w:tcBorders>
              <w:tl2br w:val="nil"/>
              <w:tr2bl w:val="nil"/>
            </w:tcBorders>
            <w:vAlign w:val="center"/>
          </w:tcPr>
          <w:p w14:paraId="756FE3E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授权号</w:t>
            </w:r>
          </w:p>
          <w:p w14:paraId="4D67F11D">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（标准编号）</w:t>
            </w:r>
          </w:p>
        </w:tc>
        <w:tc>
          <w:tcPr>
            <w:tcW w:w="1766" w:type="dxa"/>
            <w:tcBorders>
              <w:tl2br w:val="nil"/>
              <w:tr2bl w:val="nil"/>
            </w:tcBorders>
            <w:vAlign w:val="center"/>
          </w:tcPr>
          <w:p w14:paraId="734B13E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证书编号</w:t>
            </w:r>
          </w:p>
        </w:tc>
      </w:tr>
      <w:tr w14:paraId="6E48B89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rPr>
          <w:trHeight w:val="119" w:hRule="atLeast"/>
        </w:trPr>
        <w:tc>
          <w:tcPr>
            <w:tcW w:w="1149" w:type="dxa"/>
            <w:vMerge w:val="continue"/>
            <w:tcBorders>
              <w:tl2br w:val="nil"/>
              <w:tr2bl w:val="nil"/>
            </w:tcBorders>
            <w:vAlign w:val="center"/>
          </w:tcPr>
          <w:p w14:paraId="1A66A95C">
            <w:pPr>
              <w:spacing w:line="360" w:lineRule="auto"/>
              <w:jc w:val="center"/>
              <w:rPr>
                <w:rFonts w:hint="default" w:ascii="Times New Roman" w:hAnsi="Times New Roman" w:eastAsia="仿宋_GB2312" w:cs="Times New Roman"/>
                <w:sz w:val="24"/>
                <w:szCs w:val="24"/>
              </w:rPr>
            </w:pPr>
          </w:p>
        </w:tc>
        <w:tc>
          <w:tcPr>
            <w:tcW w:w="1752" w:type="dxa"/>
            <w:vMerge w:val="continue"/>
            <w:tcBorders>
              <w:tl2br w:val="nil"/>
              <w:tr2bl w:val="nil"/>
            </w:tcBorders>
            <w:vAlign w:val="center"/>
          </w:tcPr>
          <w:p w14:paraId="46F5CEFB">
            <w:pPr>
              <w:spacing w:line="360" w:lineRule="auto"/>
              <w:jc w:val="center"/>
              <w:rPr>
                <w:rFonts w:hint="default" w:ascii="Times New Roman" w:hAnsi="Times New Roman" w:eastAsia="仿宋_GB2312" w:cs="Times New Roman"/>
                <w:b/>
                <w:bCs/>
                <w:sz w:val="24"/>
                <w:szCs w:val="24"/>
              </w:rPr>
            </w:pPr>
          </w:p>
        </w:tc>
        <w:tc>
          <w:tcPr>
            <w:tcW w:w="1725" w:type="dxa"/>
            <w:vMerge w:val="continue"/>
            <w:tcBorders>
              <w:tl2br w:val="nil"/>
              <w:tr2bl w:val="nil"/>
            </w:tcBorders>
            <w:vAlign w:val="center"/>
          </w:tcPr>
          <w:p w14:paraId="4D9E81A5">
            <w:pPr>
              <w:spacing w:line="360" w:lineRule="auto"/>
              <w:jc w:val="center"/>
              <w:rPr>
                <w:rFonts w:hint="default" w:ascii="Times New Roman" w:hAnsi="Times New Roman" w:eastAsia="仿宋_GB2312" w:cs="Times New Roman"/>
                <w:b/>
                <w:bCs/>
                <w:sz w:val="24"/>
                <w:szCs w:val="24"/>
              </w:rPr>
            </w:pPr>
          </w:p>
        </w:tc>
        <w:tc>
          <w:tcPr>
            <w:tcW w:w="2130" w:type="dxa"/>
            <w:vMerge w:val="continue"/>
            <w:tcBorders>
              <w:tl2br w:val="nil"/>
              <w:tr2bl w:val="nil"/>
            </w:tcBorders>
            <w:vAlign w:val="center"/>
          </w:tcPr>
          <w:p w14:paraId="6C97ACFB">
            <w:pPr>
              <w:spacing w:line="360" w:lineRule="auto"/>
              <w:jc w:val="center"/>
              <w:rPr>
                <w:rFonts w:hint="default" w:ascii="Times New Roman" w:hAnsi="Times New Roman" w:eastAsia="仿宋_GB2312" w:cs="Times New Roman"/>
                <w:b/>
                <w:bCs/>
                <w:sz w:val="24"/>
                <w:szCs w:val="24"/>
              </w:rPr>
            </w:pPr>
          </w:p>
        </w:tc>
        <w:tc>
          <w:tcPr>
            <w:tcW w:w="1766" w:type="dxa"/>
            <w:tcBorders>
              <w:tl2br w:val="nil"/>
              <w:tr2bl w:val="nil"/>
            </w:tcBorders>
            <w:vAlign w:val="center"/>
          </w:tcPr>
          <w:p w14:paraId="48A0169B">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（标准批准</w:t>
            </w:r>
          </w:p>
          <w:p w14:paraId="5432E1BD">
            <w:pPr>
              <w:spacing w:line="36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发布部门）</w:t>
            </w:r>
          </w:p>
        </w:tc>
      </w:tr>
      <w:tr w14:paraId="25274FCA">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2F7C49BD">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0889698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国际发明专利</w:t>
            </w:r>
          </w:p>
        </w:tc>
        <w:tc>
          <w:tcPr>
            <w:tcW w:w="1725" w:type="dxa"/>
            <w:tcBorders>
              <w:tl2br w:val="nil"/>
              <w:tr2bl w:val="nil"/>
            </w:tcBorders>
            <w:vAlign w:val="center"/>
          </w:tcPr>
          <w:p w14:paraId="337781B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Resource treatment method of triple-fire</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process for high-sulfur content slag in zinc-oxygen pressure leaching</w:t>
            </w:r>
          </w:p>
        </w:tc>
        <w:tc>
          <w:tcPr>
            <w:tcW w:w="2130" w:type="dxa"/>
            <w:tcBorders>
              <w:tl2br w:val="nil"/>
              <w:tr2bl w:val="nil"/>
            </w:tcBorders>
            <w:vAlign w:val="center"/>
          </w:tcPr>
          <w:p w14:paraId="5B571C07">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LU103318</w:t>
            </w:r>
          </w:p>
        </w:tc>
        <w:tc>
          <w:tcPr>
            <w:tcW w:w="1766" w:type="dxa"/>
            <w:tcBorders>
              <w:tl2br w:val="nil"/>
              <w:tr2bl w:val="nil"/>
            </w:tcBorders>
            <w:vAlign w:val="center"/>
          </w:tcPr>
          <w:p w14:paraId="6E87111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LU103318</w:t>
            </w:r>
          </w:p>
        </w:tc>
      </w:tr>
      <w:tr w14:paraId="2E8D9D3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3751A44F">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797D116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国际发明专利</w:t>
            </w:r>
          </w:p>
        </w:tc>
        <w:tc>
          <w:tcPr>
            <w:tcW w:w="1725" w:type="dxa"/>
            <w:tcBorders>
              <w:tl2br w:val="nil"/>
              <w:tr2bl w:val="nil"/>
            </w:tcBorders>
            <w:vAlign w:val="center"/>
          </w:tcPr>
          <w:p w14:paraId="7349EFC6">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Method for treating valuable metals in oxygen pressure leaching slag by Ausmelt furnace</w:t>
            </w:r>
          </w:p>
        </w:tc>
        <w:tc>
          <w:tcPr>
            <w:tcW w:w="2130" w:type="dxa"/>
            <w:tcBorders>
              <w:tl2br w:val="nil"/>
              <w:tr2bl w:val="nil"/>
            </w:tcBorders>
            <w:vAlign w:val="center"/>
          </w:tcPr>
          <w:p w14:paraId="207D04C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LU507493</w:t>
            </w:r>
          </w:p>
        </w:tc>
        <w:tc>
          <w:tcPr>
            <w:tcW w:w="1766" w:type="dxa"/>
            <w:tcBorders>
              <w:tl2br w:val="nil"/>
              <w:tr2bl w:val="nil"/>
            </w:tcBorders>
            <w:vAlign w:val="center"/>
          </w:tcPr>
          <w:p w14:paraId="430C487D">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LU507493</w:t>
            </w:r>
          </w:p>
        </w:tc>
      </w:tr>
      <w:tr w14:paraId="5BE80062">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B5EDE7A">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077ABD5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国际</w:t>
            </w:r>
            <w:r>
              <w:rPr>
                <w:rFonts w:hint="eastAsia" w:ascii="Times New Roman" w:hAnsi="Times New Roman" w:eastAsia="仿宋_GB2312" w:cs="Times New Roman"/>
                <w:b w:val="0"/>
                <w:bCs w:val="0"/>
                <w:sz w:val="24"/>
                <w:szCs w:val="24"/>
                <w:lang w:val="en-US" w:eastAsia="zh-CN"/>
              </w:rPr>
              <w:t>发明</w:t>
            </w:r>
            <w:r>
              <w:rPr>
                <w:rFonts w:hint="default" w:ascii="Times New Roman" w:hAnsi="Times New Roman" w:eastAsia="仿宋_GB2312" w:cs="Times New Roman"/>
                <w:b w:val="0"/>
                <w:bCs w:val="0"/>
                <w:sz w:val="24"/>
                <w:szCs w:val="24"/>
                <w:lang w:val="en-US" w:eastAsia="zh-CN"/>
              </w:rPr>
              <w:t>专利</w:t>
            </w:r>
          </w:p>
        </w:tc>
        <w:tc>
          <w:tcPr>
            <w:tcW w:w="1725" w:type="dxa"/>
            <w:tcBorders>
              <w:tl2br w:val="nil"/>
              <w:tr2bl w:val="nil"/>
            </w:tcBorders>
            <w:vAlign w:val="center"/>
          </w:tcPr>
          <w:p w14:paraId="3B31022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SYSTEM AND METHOD FOR PREPARING GERMANIUM METAL</w:t>
            </w:r>
          </w:p>
        </w:tc>
        <w:tc>
          <w:tcPr>
            <w:tcW w:w="2130" w:type="dxa"/>
            <w:tcBorders>
              <w:tl2br w:val="nil"/>
              <w:tr2bl w:val="nil"/>
            </w:tcBorders>
            <w:vAlign w:val="center"/>
          </w:tcPr>
          <w:p w14:paraId="26CF5BCE">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NLB12035347</w:t>
            </w:r>
          </w:p>
        </w:tc>
        <w:tc>
          <w:tcPr>
            <w:tcW w:w="1766" w:type="dxa"/>
            <w:tcBorders>
              <w:tl2br w:val="nil"/>
              <w:tr2bl w:val="nil"/>
            </w:tcBorders>
            <w:vAlign w:val="center"/>
          </w:tcPr>
          <w:p w14:paraId="0ACC1F6C">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证书号第20355347号</w:t>
            </w:r>
          </w:p>
        </w:tc>
      </w:tr>
      <w:tr w14:paraId="21A5404E">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EA24FF4">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4E93CB1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发明专利</w:t>
            </w:r>
          </w:p>
        </w:tc>
        <w:tc>
          <w:tcPr>
            <w:tcW w:w="1725" w:type="dxa"/>
            <w:tcBorders>
              <w:tl2br w:val="nil"/>
              <w:tr2bl w:val="nil"/>
            </w:tcBorders>
            <w:vAlign w:val="center"/>
          </w:tcPr>
          <w:p w14:paraId="6875A78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一种氧压浸出渣通过Ausmelt炉处理有价金属的方法</w:t>
            </w:r>
          </w:p>
        </w:tc>
        <w:tc>
          <w:tcPr>
            <w:tcW w:w="2130" w:type="dxa"/>
            <w:tcBorders>
              <w:tl2br w:val="nil"/>
              <w:tr2bl w:val="nil"/>
            </w:tcBorders>
            <w:vAlign w:val="center"/>
          </w:tcPr>
          <w:p w14:paraId="406DD9D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w:t>
            </w:r>
            <w:r>
              <w:rPr>
                <w:rFonts w:hint="default" w:ascii="Times New Roman" w:hAnsi="Times New Roman" w:eastAsia="仿宋_GB2312" w:cs="Times New Roman"/>
                <w:b w:val="0"/>
                <w:bCs w:val="0"/>
                <w:sz w:val="24"/>
                <w:szCs w:val="24"/>
              </w:rPr>
              <w:t>201611240137.X</w:t>
            </w:r>
          </w:p>
        </w:tc>
        <w:tc>
          <w:tcPr>
            <w:tcW w:w="1766" w:type="dxa"/>
            <w:tcBorders>
              <w:tl2br w:val="nil"/>
              <w:tr2bl w:val="nil"/>
            </w:tcBorders>
            <w:vAlign w:val="center"/>
          </w:tcPr>
          <w:p w14:paraId="1A53F05F">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证书号第2926828号</w:t>
            </w:r>
          </w:p>
        </w:tc>
      </w:tr>
      <w:tr w14:paraId="12DF2463">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2C93257D">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0C4E57B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发明专利</w:t>
            </w:r>
          </w:p>
        </w:tc>
        <w:tc>
          <w:tcPr>
            <w:tcW w:w="1725" w:type="dxa"/>
            <w:tcBorders>
              <w:tl2br w:val="nil"/>
              <w:tr2bl w:val="nil"/>
            </w:tcBorders>
            <w:vAlign w:val="center"/>
          </w:tcPr>
          <w:p w14:paraId="46AC6EA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一种铅精矿处理工艺</w:t>
            </w:r>
          </w:p>
        </w:tc>
        <w:tc>
          <w:tcPr>
            <w:tcW w:w="2130" w:type="dxa"/>
            <w:tcBorders>
              <w:tl2br w:val="nil"/>
              <w:tr2bl w:val="nil"/>
            </w:tcBorders>
            <w:vAlign w:val="center"/>
          </w:tcPr>
          <w:p w14:paraId="3AD9F19E">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w:t>
            </w:r>
            <w:r>
              <w:rPr>
                <w:rFonts w:hint="default" w:ascii="Times New Roman" w:hAnsi="Times New Roman" w:eastAsia="仿宋_GB2312" w:cs="Times New Roman"/>
                <w:b w:val="0"/>
                <w:bCs w:val="0"/>
                <w:sz w:val="24"/>
                <w:szCs w:val="24"/>
              </w:rPr>
              <w:t>201611235983.2</w:t>
            </w:r>
          </w:p>
        </w:tc>
        <w:tc>
          <w:tcPr>
            <w:tcW w:w="1766" w:type="dxa"/>
            <w:tcBorders>
              <w:tl2br w:val="nil"/>
              <w:tr2bl w:val="nil"/>
            </w:tcBorders>
            <w:vAlign w:val="center"/>
          </w:tcPr>
          <w:p w14:paraId="3C1B609C">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证书号第3226855号</w:t>
            </w:r>
          </w:p>
        </w:tc>
      </w:tr>
      <w:tr w14:paraId="28C4E6FB">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19B24679">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787231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3D39633A">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一种处理浸锌渣、锌冶炼石膏渣和高炉瓦斯灰的方法</w:t>
            </w:r>
          </w:p>
        </w:tc>
        <w:tc>
          <w:tcPr>
            <w:tcW w:w="2130" w:type="dxa"/>
            <w:tcBorders>
              <w:tl2br w:val="nil"/>
              <w:tr2bl w:val="nil"/>
            </w:tcBorders>
            <w:vAlign w:val="center"/>
          </w:tcPr>
          <w:p w14:paraId="79001297">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ZL202210067193.7</w:t>
            </w:r>
          </w:p>
        </w:tc>
        <w:tc>
          <w:tcPr>
            <w:tcW w:w="1766" w:type="dxa"/>
            <w:tcBorders>
              <w:tl2br w:val="nil"/>
              <w:tr2bl w:val="nil"/>
            </w:tcBorders>
            <w:vAlign w:val="center"/>
          </w:tcPr>
          <w:p w14:paraId="1B6F980B">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证书号第6485983号</w:t>
            </w:r>
          </w:p>
        </w:tc>
      </w:tr>
      <w:tr w14:paraId="542C1482">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BC9563D">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02EE10A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49A4E10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一种从低浓度含锗氧化锌烟尘浸出液中富集锗的方法</w:t>
            </w:r>
          </w:p>
        </w:tc>
        <w:tc>
          <w:tcPr>
            <w:tcW w:w="2130" w:type="dxa"/>
            <w:tcBorders>
              <w:tl2br w:val="nil"/>
              <w:tr2bl w:val="nil"/>
            </w:tcBorders>
            <w:vAlign w:val="center"/>
          </w:tcPr>
          <w:p w14:paraId="1E2A28A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ZL202310357879.4</w:t>
            </w:r>
          </w:p>
        </w:tc>
        <w:tc>
          <w:tcPr>
            <w:tcW w:w="1766" w:type="dxa"/>
            <w:tcBorders>
              <w:tl2br w:val="nil"/>
              <w:tr2bl w:val="nil"/>
            </w:tcBorders>
            <w:vAlign w:val="center"/>
          </w:tcPr>
          <w:p w14:paraId="3AAB4A5F">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证书号第7925202号</w:t>
            </w:r>
          </w:p>
        </w:tc>
      </w:tr>
      <w:tr w14:paraId="759B21B7">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0F65A14">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2EB65EC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2347A10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一种中和沉淀法从锌锗浸出液中制备锗精矿的方法</w:t>
            </w:r>
          </w:p>
        </w:tc>
        <w:tc>
          <w:tcPr>
            <w:tcW w:w="2130" w:type="dxa"/>
            <w:tcBorders>
              <w:tl2br w:val="nil"/>
              <w:tr2bl w:val="nil"/>
            </w:tcBorders>
            <w:vAlign w:val="center"/>
          </w:tcPr>
          <w:p w14:paraId="217125C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ZL202310378031.X</w:t>
            </w:r>
          </w:p>
        </w:tc>
        <w:tc>
          <w:tcPr>
            <w:tcW w:w="1766" w:type="dxa"/>
            <w:tcBorders>
              <w:tl2br w:val="nil"/>
              <w:tr2bl w:val="nil"/>
            </w:tcBorders>
            <w:vAlign w:val="center"/>
          </w:tcPr>
          <w:p w14:paraId="209FA0BC">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证书号第7986336号</w:t>
            </w:r>
          </w:p>
        </w:tc>
      </w:tr>
      <w:tr w14:paraId="3C61CD15">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1075B5A7">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3559C53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6AFEF27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一种利用顶吹炉综合高效处理铅阳极泥的方法</w:t>
            </w:r>
          </w:p>
        </w:tc>
        <w:tc>
          <w:tcPr>
            <w:tcW w:w="2130" w:type="dxa"/>
            <w:tcBorders>
              <w:tl2br w:val="nil"/>
              <w:tr2bl w:val="nil"/>
            </w:tcBorders>
            <w:vAlign w:val="center"/>
          </w:tcPr>
          <w:p w14:paraId="57CA2DF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ZL201310336279.6</w:t>
            </w:r>
          </w:p>
        </w:tc>
        <w:tc>
          <w:tcPr>
            <w:tcW w:w="1766" w:type="dxa"/>
            <w:tcBorders>
              <w:tl2br w:val="nil"/>
              <w:tr2bl w:val="nil"/>
            </w:tcBorders>
            <w:vAlign w:val="center"/>
          </w:tcPr>
          <w:p w14:paraId="2BB96375">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证书号第1502613号</w:t>
            </w:r>
          </w:p>
        </w:tc>
      </w:tr>
      <w:tr w14:paraId="47B2A8C2">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33D8A7A">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2C8F65C6">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7B92FD0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一种铜浮渣中高效回收有价金属的方法</w:t>
            </w:r>
          </w:p>
        </w:tc>
        <w:tc>
          <w:tcPr>
            <w:tcW w:w="2130" w:type="dxa"/>
            <w:tcBorders>
              <w:tl2br w:val="nil"/>
              <w:tr2bl w:val="nil"/>
            </w:tcBorders>
            <w:vAlign w:val="center"/>
          </w:tcPr>
          <w:p w14:paraId="4C01CDB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ZL201510228660.X</w:t>
            </w:r>
          </w:p>
        </w:tc>
        <w:tc>
          <w:tcPr>
            <w:tcW w:w="1766" w:type="dxa"/>
            <w:tcBorders>
              <w:tl2br w:val="nil"/>
              <w:tr2bl w:val="nil"/>
            </w:tcBorders>
            <w:vAlign w:val="center"/>
          </w:tcPr>
          <w:p w14:paraId="1EA8878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证书号第2546125号</w:t>
            </w:r>
          </w:p>
        </w:tc>
      </w:tr>
      <w:tr w14:paraId="01521C23">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76292675">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5A578AC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4DF90AE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一种熔炼炉渣协同净化锡冶炼烟气中SO2与NOx的方法</w:t>
            </w:r>
          </w:p>
        </w:tc>
        <w:tc>
          <w:tcPr>
            <w:tcW w:w="2130" w:type="dxa"/>
            <w:tcBorders>
              <w:tl2br w:val="nil"/>
              <w:tr2bl w:val="nil"/>
            </w:tcBorders>
            <w:vAlign w:val="center"/>
          </w:tcPr>
          <w:p w14:paraId="35A5480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ZL201810842858.0</w:t>
            </w:r>
          </w:p>
        </w:tc>
        <w:tc>
          <w:tcPr>
            <w:tcW w:w="1766" w:type="dxa"/>
            <w:tcBorders>
              <w:tl2br w:val="nil"/>
              <w:tr2bl w:val="nil"/>
            </w:tcBorders>
            <w:vAlign w:val="center"/>
          </w:tcPr>
          <w:p w14:paraId="743DA3D3">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证书号第4232684号</w:t>
            </w:r>
          </w:p>
        </w:tc>
      </w:tr>
      <w:tr w14:paraId="4F47CE20">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07439E3">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389C112F">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6668631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一种采用两段逆流硫酸浸出从富锡铅锌烟灰中综合回收锌铅锡的方法</w:t>
            </w:r>
          </w:p>
        </w:tc>
        <w:tc>
          <w:tcPr>
            <w:tcW w:w="2130" w:type="dxa"/>
            <w:tcBorders>
              <w:tl2br w:val="nil"/>
              <w:tr2bl w:val="nil"/>
            </w:tcBorders>
            <w:vAlign w:val="center"/>
          </w:tcPr>
          <w:p w14:paraId="243D37E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ZL201811268460.7</w:t>
            </w:r>
          </w:p>
        </w:tc>
        <w:tc>
          <w:tcPr>
            <w:tcW w:w="1766" w:type="dxa"/>
            <w:tcBorders>
              <w:tl2br w:val="nil"/>
              <w:tr2bl w:val="nil"/>
            </w:tcBorders>
            <w:vAlign w:val="center"/>
          </w:tcPr>
          <w:p w14:paraId="19CE6D5B">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证书号第3843914号</w:t>
            </w:r>
          </w:p>
        </w:tc>
      </w:tr>
      <w:tr w14:paraId="76997232">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0343726E">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3993105F">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3BB7B582">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一种利用含砷固废制备的凝胶材料及其制备方法与应用</w:t>
            </w:r>
          </w:p>
        </w:tc>
        <w:tc>
          <w:tcPr>
            <w:tcW w:w="2130" w:type="dxa"/>
            <w:tcBorders>
              <w:tl2br w:val="nil"/>
              <w:tr2bl w:val="nil"/>
            </w:tcBorders>
            <w:vAlign w:val="center"/>
          </w:tcPr>
          <w:p w14:paraId="26AAF4C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ZL202310307122.4</w:t>
            </w:r>
          </w:p>
        </w:tc>
        <w:tc>
          <w:tcPr>
            <w:tcW w:w="1766" w:type="dxa"/>
            <w:tcBorders>
              <w:tl2br w:val="nil"/>
              <w:tr2bl w:val="nil"/>
            </w:tcBorders>
            <w:vAlign w:val="center"/>
          </w:tcPr>
          <w:p w14:paraId="6CC1B274">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highlight w:val="none"/>
                <w:lang w:val="en-US" w:eastAsia="zh-CN"/>
              </w:rPr>
              <w:t>证书号第7899211号</w:t>
            </w:r>
          </w:p>
        </w:tc>
      </w:tr>
      <w:tr w14:paraId="43BB8128">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17F250E">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E0AD1D6">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2A4A8D3D">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一种冶炼烟气中砷的干法骤冷脱除及回收的方法</w:t>
            </w:r>
          </w:p>
        </w:tc>
        <w:tc>
          <w:tcPr>
            <w:tcW w:w="2130" w:type="dxa"/>
            <w:tcBorders>
              <w:tl2br w:val="nil"/>
              <w:tr2bl w:val="nil"/>
            </w:tcBorders>
            <w:vAlign w:val="center"/>
          </w:tcPr>
          <w:p w14:paraId="6515351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201711313959.0</w:t>
            </w:r>
          </w:p>
        </w:tc>
        <w:tc>
          <w:tcPr>
            <w:tcW w:w="1766" w:type="dxa"/>
            <w:tcBorders>
              <w:tl2br w:val="nil"/>
              <w:tr2bl w:val="nil"/>
            </w:tcBorders>
            <w:vAlign w:val="center"/>
          </w:tcPr>
          <w:p w14:paraId="34B89440">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证书号第4098964号</w:t>
            </w:r>
          </w:p>
        </w:tc>
      </w:tr>
      <w:tr w14:paraId="32C30679">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AD2A64C">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31B3B1D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发明专利</w:t>
            </w:r>
          </w:p>
        </w:tc>
        <w:tc>
          <w:tcPr>
            <w:tcW w:w="1725" w:type="dxa"/>
            <w:tcBorders>
              <w:tl2br w:val="nil"/>
              <w:tr2bl w:val="nil"/>
            </w:tcBorders>
            <w:vAlign w:val="center"/>
          </w:tcPr>
          <w:p w14:paraId="4563CFB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一种冶金烟气中CO、VOCs、Nox和卤化氢协同净化方法及装置</w:t>
            </w:r>
          </w:p>
        </w:tc>
        <w:tc>
          <w:tcPr>
            <w:tcW w:w="2130" w:type="dxa"/>
            <w:tcBorders>
              <w:tl2br w:val="nil"/>
              <w:tr2bl w:val="nil"/>
            </w:tcBorders>
            <w:vAlign w:val="center"/>
          </w:tcPr>
          <w:p w14:paraId="410064E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ZL202110289348.7</w:t>
            </w:r>
          </w:p>
        </w:tc>
        <w:tc>
          <w:tcPr>
            <w:tcW w:w="1766" w:type="dxa"/>
            <w:tcBorders>
              <w:tl2br w:val="nil"/>
              <w:tr2bl w:val="nil"/>
            </w:tcBorders>
            <w:vAlign w:val="center"/>
          </w:tcPr>
          <w:p w14:paraId="30C70B5E">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证书号第7091294号</w:t>
            </w:r>
          </w:p>
        </w:tc>
      </w:tr>
      <w:tr w14:paraId="2E3A5235">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002715FF">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426253C6">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0C30AB6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一种用于金属电解精炼的电解装置</w:t>
            </w:r>
          </w:p>
        </w:tc>
        <w:tc>
          <w:tcPr>
            <w:tcW w:w="2130" w:type="dxa"/>
            <w:tcBorders>
              <w:tl2br w:val="nil"/>
              <w:tr2bl w:val="nil"/>
            </w:tcBorders>
            <w:vAlign w:val="center"/>
          </w:tcPr>
          <w:p w14:paraId="58001CB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 2023 2 0753368.X</w:t>
            </w:r>
          </w:p>
        </w:tc>
        <w:tc>
          <w:tcPr>
            <w:tcW w:w="1766" w:type="dxa"/>
            <w:tcBorders>
              <w:tl2br w:val="nil"/>
              <w:tr2bl w:val="nil"/>
            </w:tcBorders>
            <w:vAlign w:val="center"/>
          </w:tcPr>
          <w:p w14:paraId="24B0ADA4">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证书号第19658859号</w:t>
            </w:r>
          </w:p>
        </w:tc>
      </w:tr>
      <w:tr w14:paraId="72941B5D">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E34349D">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6F4BF62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7CC823CF">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一种铅精矿处理系统</w:t>
            </w:r>
          </w:p>
        </w:tc>
        <w:tc>
          <w:tcPr>
            <w:tcW w:w="2130" w:type="dxa"/>
            <w:tcBorders>
              <w:tl2br w:val="nil"/>
              <w:tr2bl w:val="nil"/>
            </w:tcBorders>
            <w:vAlign w:val="center"/>
          </w:tcPr>
          <w:p w14:paraId="4813A21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ZL</w:t>
            </w:r>
            <w:r>
              <w:rPr>
                <w:rFonts w:hint="default" w:ascii="Times New Roman" w:hAnsi="Times New Roman" w:eastAsia="仿宋_GB2312" w:cs="Times New Roman"/>
                <w:b w:val="0"/>
                <w:bCs w:val="0"/>
                <w:sz w:val="24"/>
                <w:szCs w:val="24"/>
              </w:rPr>
              <w:t>201621458391.2</w:t>
            </w:r>
          </w:p>
        </w:tc>
        <w:tc>
          <w:tcPr>
            <w:tcW w:w="1766" w:type="dxa"/>
            <w:tcBorders>
              <w:tl2br w:val="nil"/>
              <w:tr2bl w:val="nil"/>
            </w:tcBorders>
            <w:vAlign w:val="center"/>
          </w:tcPr>
          <w:p w14:paraId="48EA067F">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证书号第6296342号</w:t>
            </w:r>
          </w:p>
        </w:tc>
      </w:tr>
      <w:tr w14:paraId="3343DD8F">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4E17663">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4DAE71B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6AEFB59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一种奥炉喷枪缓冲座</w:t>
            </w:r>
          </w:p>
        </w:tc>
        <w:tc>
          <w:tcPr>
            <w:tcW w:w="2130" w:type="dxa"/>
            <w:tcBorders>
              <w:tl2br w:val="nil"/>
              <w:tr2bl w:val="nil"/>
            </w:tcBorders>
            <w:vAlign w:val="center"/>
          </w:tcPr>
          <w:p w14:paraId="19E2D570">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ZL202322530655.7</w:t>
            </w:r>
          </w:p>
        </w:tc>
        <w:tc>
          <w:tcPr>
            <w:tcW w:w="1766" w:type="dxa"/>
            <w:tcBorders>
              <w:tl2br w:val="nil"/>
              <w:tr2bl w:val="nil"/>
            </w:tcBorders>
            <w:vAlign w:val="center"/>
          </w:tcPr>
          <w:p w14:paraId="558D9130">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证书号第20874582</w:t>
            </w:r>
          </w:p>
        </w:tc>
      </w:tr>
      <w:tr w14:paraId="3193BB89">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10B29017">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4896E168">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0B14866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一种用于四氯化锗透过率检测的快速取样装置</w:t>
            </w:r>
          </w:p>
        </w:tc>
        <w:tc>
          <w:tcPr>
            <w:tcW w:w="2130" w:type="dxa"/>
            <w:tcBorders>
              <w:tl2br w:val="nil"/>
              <w:tr2bl w:val="nil"/>
            </w:tcBorders>
            <w:vAlign w:val="center"/>
          </w:tcPr>
          <w:p w14:paraId="7445A9DA">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ZL202023204685.1</w:t>
            </w:r>
          </w:p>
        </w:tc>
        <w:tc>
          <w:tcPr>
            <w:tcW w:w="1766" w:type="dxa"/>
            <w:tcBorders>
              <w:tl2br w:val="nil"/>
              <w:tr2bl w:val="nil"/>
            </w:tcBorders>
            <w:vAlign w:val="center"/>
          </w:tcPr>
          <w:p w14:paraId="4A7C7074">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证书号第14831847号</w:t>
            </w:r>
          </w:p>
        </w:tc>
      </w:tr>
      <w:tr w14:paraId="3F001BBA">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4E4A4CE8">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0F315CE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0293E3B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一种四氯化锗精馏尾气密封装置</w:t>
            </w:r>
          </w:p>
        </w:tc>
        <w:tc>
          <w:tcPr>
            <w:tcW w:w="2130" w:type="dxa"/>
            <w:tcBorders>
              <w:tl2br w:val="nil"/>
              <w:tr2bl w:val="nil"/>
            </w:tcBorders>
            <w:vAlign w:val="center"/>
          </w:tcPr>
          <w:p w14:paraId="4D7ACB1F">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ZL202120147950.2</w:t>
            </w:r>
          </w:p>
        </w:tc>
        <w:tc>
          <w:tcPr>
            <w:tcW w:w="1766" w:type="dxa"/>
            <w:tcBorders>
              <w:tl2br w:val="nil"/>
              <w:tr2bl w:val="nil"/>
            </w:tcBorders>
            <w:vAlign w:val="center"/>
          </w:tcPr>
          <w:p w14:paraId="7AFE6FD5">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证书号第14857701号</w:t>
            </w:r>
          </w:p>
        </w:tc>
      </w:tr>
      <w:tr w14:paraId="5FC4A3A8">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1B61DC89">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7210A2CE">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45E5D02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一种四氯化锗石英冷却装置</w:t>
            </w:r>
          </w:p>
        </w:tc>
        <w:tc>
          <w:tcPr>
            <w:tcW w:w="2130" w:type="dxa"/>
            <w:tcBorders>
              <w:tl2br w:val="nil"/>
              <w:tr2bl w:val="nil"/>
            </w:tcBorders>
            <w:vAlign w:val="center"/>
          </w:tcPr>
          <w:p w14:paraId="3D4C47A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ZL202120153379.5</w:t>
            </w:r>
          </w:p>
        </w:tc>
        <w:tc>
          <w:tcPr>
            <w:tcW w:w="1766" w:type="dxa"/>
            <w:tcBorders>
              <w:tl2br w:val="nil"/>
              <w:tr2bl w:val="nil"/>
            </w:tcBorders>
            <w:vAlign w:val="center"/>
          </w:tcPr>
          <w:p w14:paraId="47B410E3">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证书号第14834307号</w:t>
            </w:r>
          </w:p>
        </w:tc>
      </w:tr>
      <w:tr w14:paraId="593EE1FC">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62B0DA02">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67642A7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54581ED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一种用于吸收尾气中残余物料的装置</w:t>
            </w:r>
          </w:p>
        </w:tc>
        <w:tc>
          <w:tcPr>
            <w:tcW w:w="2130" w:type="dxa"/>
            <w:tcBorders>
              <w:tl2br w:val="nil"/>
              <w:tr2bl w:val="nil"/>
            </w:tcBorders>
            <w:vAlign w:val="center"/>
          </w:tcPr>
          <w:p w14:paraId="4C6086D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ZL202322223842.0</w:t>
            </w:r>
          </w:p>
        </w:tc>
        <w:tc>
          <w:tcPr>
            <w:tcW w:w="1766" w:type="dxa"/>
            <w:tcBorders>
              <w:tl2br w:val="nil"/>
              <w:tr2bl w:val="nil"/>
            </w:tcBorders>
            <w:vAlign w:val="center"/>
          </w:tcPr>
          <w:p w14:paraId="65D436E3">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证书号第20623720号</w:t>
            </w:r>
          </w:p>
        </w:tc>
      </w:tr>
      <w:tr w14:paraId="16561433">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080F2856">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7413548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6C0ED8F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一种废盐水结晶分离装置</w:t>
            </w:r>
          </w:p>
        </w:tc>
        <w:tc>
          <w:tcPr>
            <w:tcW w:w="2130" w:type="dxa"/>
            <w:tcBorders>
              <w:tl2br w:val="nil"/>
              <w:tr2bl w:val="nil"/>
            </w:tcBorders>
            <w:vAlign w:val="center"/>
          </w:tcPr>
          <w:p w14:paraId="5036CE0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ZL202322067144.6</w:t>
            </w:r>
          </w:p>
        </w:tc>
        <w:tc>
          <w:tcPr>
            <w:tcW w:w="1766" w:type="dxa"/>
            <w:tcBorders>
              <w:tl2br w:val="nil"/>
              <w:tr2bl w:val="nil"/>
            </w:tcBorders>
            <w:vAlign w:val="center"/>
          </w:tcPr>
          <w:p w14:paraId="41A6E9F5">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证书号第20633413号</w:t>
            </w:r>
          </w:p>
        </w:tc>
      </w:tr>
      <w:tr w14:paraId="6BEA62FF">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37D0EC4E">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47EF9314">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7D29776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一种用于超高纯四氯化锗储罐的快速定位贴标装置</w:t>
            </w:r>
          </w:p>
        </w:tc>
        <w:tc>
          <w:tcPr>
            <w:tcW w:w="2130" w:type="dxa"/>
            <w:tcBorders>
              <w:tl2br w:val="nil"/>
              <w:tr2bl w:val="nil"/>
            </w:tcBorders>
            <w:vAlign w:val="center"/>
          </w:tcPr>
          <w:p w14:paraId="3CC4E88A">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ZL202321541920.5</w:t>
            </w:r>
          </w:p>
        </w:tc>
        <w:tc>
          <w:tcPr>
            <w:tcW w:w="1766" w:type="dxa"/>
            <w:tcBorders>
              <w:tl2br w:val="nil"/>
              <w:tr2bl w:val="nil"/>
            </w:tcBorders>
            <w:vAlign w:val="center"/>
          </w:tcPr>
          <w:p w14:paraId="3C08D163">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20865552号</w:t>
            </w:r>
          </w:p>
        </w:tc>
      </w:tr>
      <w:tr w14:paraId="5214CE4B">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ABB58B3">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B4AF6E9">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422587E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用于二次铜资源冶炼的底吹炉</w:t>
            </w:r>
          </w:p>
        </w:tc>
        <w:tc>
          <w:tcPr>
            <w:tcW w:w="2130" w:type="dxa"/>
            <w:tcBorders>
              <w:tl2br w:val="nil"/>
              <w:tr2bl w:val="nil"/>
            </w:tcBorders>
            <w:vAlign w:val="center"/>
          </w:tcPr>
          <w:p w14:paraId="2B315925">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ZL202221529798.5</w:t>
            </w:r>
          </w:p>
        </w:tc>
        <w:tc>
          <w:tcPr>
            <w:tcW w:w="1766" w:type="dxa"/>
            <w:tcBorders>
              <w:tl2br w:val="nil"/>
              <w:tr2bl w:val="nil"/>
            </w:tcBorders>
            <w:vAlign w:val="center"/>
          </w:tcPr>
          <w:p w14:paraId="3DB97AB5">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证书号第17388492号</w:t>
            </w:r>
          </w:p>
        </w:tc>
      </w:tr>
      <w:tr w14:paraId="28490303">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5300C2E">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15CA4B3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lang w:val="en-US" w:eastAsia="zh-CN"/>
              </w:rPr>
              <w:t>实用新型专利</w:t>
            </w:r>
          </w:p>
        </w:tc>
        <w:tc>
          <w:tcPr>
            <w:tcW w:w="1725" w:type="dxa"/>
            <w:tcBorders>
              <w:tl2br w:val="nil"/>
              <w:tr2bl w:val="nil"/>
            </w:tcBorders>
            <w:vAlign w:val="center"/>
          </w:tcPr>
          <w:p w14:paraId="76308521">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一种中和渣减量化装置</w:t>
            </w:r>
          </w:p>
        </w:tc>
        <w:tc>
          <w:tcPr>
            <w:tcW w:w="2130" w:type="dxa"/>
            <w:tcBorders>
              <w:tl2br w:val="nil"/>
              <w:tr2bl w:val="nil"/>
            </w:tcBorders>
            <w:vAlign w:val="center"/>
          </w:tcPr>
          <w:p w14:paraId="0B6E8E27">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ZL202120029458.5</w:t>
            </w:r>
          </w:p>
        </w:tc>
        <w:tc>
          <w:tcPr>
            <w:tcW w:w="1766" w:type="dxa"/>
            <w:tcBorders>
              <w:tl2br w:val="nil"/>
              <w:tr2bl w:val="nil"/>
            </w:tcBorders>
            <w:vAlign w:val="center"/>
          </w:tcPr>
          <w:p w14:paraId="4044F990">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证书号第14795462号</w:t>
            </w:r>
          </w:p>
        </w:tc>
      </w:tr>
      <w:tr w14:paraId="0F5F5874">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5A72311F">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54C12C45">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团体标准</w:t>
            </w:r>
          </w:p>
        </w:tc>
        <w:tc>
          <w:tcPr>
            <w:tcW w:w="1725" w:type="dxa"/>
            <w:tcBorders>
              <w:tl2br w:val="nil"/>
              <w:tr2bl w:val="nil"/>
            </w:tcBorders>
            <w:vAlign w:val="center"/>
          </w:tcPr>
          <w:p w14:paraId="7BDBED3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《火法炼铅系统入炉湿法炼锌渣物料预处理工艺技术规范》</w:t>
            </w:r>
          </w:p>
        </w:tc>
        <w:tc>
          <w:tcPr>
            <w:tcW w:w="2130" w:type="dxa"/>
            <w:tcBorders>
              <w:tl2br w:val="nil"/>
              <w:tr2bl w:val="nil"/>
            </w:tcBorders>
            <w:vAlign w:val="center"/>
          </w:tcPr>
          <w:p w14:paraId="75DFD9E3">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T/CNIA 0234-2024</w:t>
            </w:r>
          </w:p>
        </w:tc>
        <w:tc>
          <w:tcPr>
            <w:tcW w:w="1766" w:type="dxa"/>
            <w:tcBorders>
              <w:tl2br w:val="nil"/>
              <w:tr2bl w:val="nil"/>
            </w:tcBorders>
            <w:vAlign w:val="center"/>
          </w:tcPr>
          <w:p w14:paraId="529D8BC7">
            <w:pPr>
              <w:spacing w:line="360" w:lineRule="auto"/>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中国有色金属工业协会</w:t>
            </w:r>
          </w:p>
          <w:p w14:paraId="28581290">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中国有色金属学会</w:t>
            </w:r>
          </w:p>
        </w:tc>
      </w:tr>
      <w:tr w14:paraId="2F16EA84">
        <w:tblPrEx>
          <w:tblBorders>
            <w:top w:val="dotted" w:color="000000" w:themeColor="text1" w:sz="4" w:space="0"/>
            <w:left w:val="dotted" w:color="000000" w:themeColor="text1" w:sz="4" w:space="0"/>
            <w:bottom w:val="dotted" w:color="000000" w:themeColor="text1" w:sz="4" w:space="0"/>
            <w:right w:val="dotted" w:color="000000" w:themeColor="text1" w:sz="4" w:space="0"/>
            <w:insideH w:val="dotted" w:color="000000" w:themeColor="text1" w:sz="4" w:space="0"/>
            <w:insideV w:val="dotted" w:color="000000" w:themeColor="text1" w:sz="4" w:space="0"/>
          </w:tblBorders>
          <w:tblCellMar>
            <w:top w:w="0" w:type="dxa"/>
            <w:left w:w="108" w:type="dxa"/>
            <w:bottom w:w="0" w:type="dxa"/>
            <w:right w:w="108" w:type="dxa"/>
          </w:tblCellMar>
        </w:tblPrEx>
        <w:tc>
          <w:tcPr>
            <w:tcW w:w="1149" w:type="dxa"/>
            <w:vMerge w:val="continue"/>
            <w:tcBorders>
              <w:tl2br w:val="nil"/>
              <w:tr2bl w:val="nil"/>
            </w:tcBorders>
            <w:vAlign w:val="center"/>
          </w:tcPr>
          <w:p w14:paraId="0DD6E405">
            <w:pPr>
              <w:spacing w:line="360" w:lineRule="auto"/>
              <w:jc w:val="center"/>
              <w:rPr>
                <w:rFonts w:hint="default" w:ascii="Times New Roman" w:hAnsi="Times New Roman" w:eastAsia="仿宋_GB2312" w:cs="Times New Roman"/>
                <w:sz w:val="24"/>
                <w:szCs w:val="24"/>
              </w:rPr>
            </w:pPr>
          </w:p>
        </w:tc>
        <w:tc>
          <w:tcPr>
            <w:tcW w:w="1752" w:type="dxa"/>
            <w:tcBorders>
              <w:tl2br w:val="nil"/>
              <w:tr2bl w:val="nil"/>
            </w:tcBorders>
            <w:vAlign w:val="center"/>
          </w:tcPr>
          <w:p w14:paraId="6529E43F">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团体标准</w:t>
            </w:r>
          </w:p>
        </w:tc>
        <w:tc>
          <w:tcPr>
            <w:tcW w:w="1725" w:type="dxa"/>
            <w:tcBorders>
              <w:tl2br w:val="nil"/>
              <w:tr2bl w:val="nil"/>
            </w:tcBorders>
            <w:vAlign w:val="center"/>
          </w:tcPr>
          <w:p w14:paraId="2AFAF4EC">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全湿法炼锌金属渣提硫技术规范</w:t>
            </w:r>
          </w:p>
        </w:tc>
        <w:tc>
          <w:tcPr>
            <w:tcW w:w="2130" w:type="dxa"/>
            <w:tcBorders>
              <w:tl2br w:val="nil"/>
              <w:tr2bl w:val="nil"/>
            </w:tcBorders>
            <w:vAlign w:val="center"/>
          </w:tcPr>
          <w:p w14:paraId="5048CD1B">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T/CNIA 0242-2024</w:t>
            </w:r>
          </w:p>
        </w:tc>
        <w:tc>
          <w:tcPr>
            <w:tcW w:w="1766" w:type="dxa"/>
            <w:tcBorders>
              <w:tl2br w:val="nil"/>
              <w:tr2bl w:val="nil"/>
            </w:tcBorders>
            <w:vAlign w:val="center"/>
          </w:tcPr>
          <w:p w14:paraId="57A03AE5">
            <w:pPr>
              <w:spacing w:line="360" w:lineRule="auto"/>
              <w:jc w:val="center"/>
              <w:rPr>
                <w:rFonts w:hint="eastAsia"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中国有色金属工业协会</w:t>
            </w:r>
          </w:p>
          <w:p w14:paraId="26D9408C">
            <w:pPr>
              <w:spacing w:line="36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val="0"/>
                <w:bCs w:val="0"/>
                <w:sz w:val="24"/>
                <w:szCs w:val="24"/>
                <w:lang w:val="en-US" w:eastAsia="zh-CN"/>
              </w:rPr>
              <w:t>中国有色金属学会</w:t>
            </w:r>
          </w:p>
        </w:tc>
      </w:tr>
    </w:tbl>
    <w:p w14:paraId="08AE1B1D">
      <w:pPr>
        <w:spacing w:line="360" w:lineRule="auto"/>
        <w:rPr>
          <w:rFonts w:hint="default" w:ascii="Times New Roman" w:hAnsi="Times New Roman" w:eastAsia="仿宋_GB2312" w:cs="Times New Roman"/>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5611E"/>
    <w:multiLevelType w:val="singleLevel"/>
    <w:tmpl w:val="84C5611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yYTJiOTkyM2ExNmRiNzExZjExMTRhMDkyNWMzYjQifQ=="/>
  </w:docVars>
  <w:rsids>
    <w:rsidRoot w:val="00DF033A"/>
    <w:rsid w:val="000E50C6"/>
    <w:rsid w:val="0046716A"/>
    <w:rsid w:val="007E4AF4"/>
    <w:rsid w:val="008C4B37"/>
    <w:rsid w:val="00A8394C"/>
    <w:rsid w:val="00AC5EA4"/>
    <w:rsid w:val="00D009F7"/>
    <w:rsid w:val="00DF033A"/>
    <w:rsid w:val="00F01361"/>
    <w:rsid w:val="0209665E"/>
    <w:rsid w:val="04E11CA6"/>
    <w:rsid w:val="070F67B1"/>
    <w:rsid w:val="07462294"/>
    <w:rsid w:val="07E31891"/>
    <w:rsid w:val="08F417B9"/>
    <w:rsid w:val="0CCB4E4E"/>
    <w:rsid w:val="0D1A6DFA"/>
    <w:rsid w:val="0D6C40D7"/>
    <w:rsid w:val="107C6D27"/>
    <w:rsid w:val="114845E4"/>
    <w:rsid w:val="12B44556"/>
    <w:rsid w:val="14BA0E4B"/>
    <w:rsid w:val="160F75F7"/>
    <w:rsid w:val="16EA1B8C"/>
    <w:rsid w:val="187F1162"/>
    <w:rsid w:val="19297320"/>
    <w:rsid w:val="20216FA3"/>
    <w:rsid w:val="21CA5B44"/>
    <w:rsid w:val="234E4553"/>
    <w:rsid w:val="259B3353"/>
    <w:rsid w:val="26FB67A0"/>
    <w:rsid w:val="27A961FC"/>
    <w:rsid w:val="287A36F4"/>
    <w:rsid w:val="2C932FD6"/>
    <w:rsid w:val="2DFB0E33"/>
    <w:rsid w:val="36BB45B4"/>
    <w:rsid w:val="381A45AC"/>
    <w:rsid w:val="3D7D6C13"/>
    <w:rsid w:val="3E2717D1"/>
    <w:rsid w:val="3F4D34B9"/>
    <w:rsid w:val="4155406D"/>
    <w:rsid w:val="41B161BF"/>
    <w:rsid w:val="43BD0C0D"/>
    <w:rsid w:val="442073EE"/>
    <w:rsid w:val="479E2B03"/>
    <w:rsid w:val="4DEB281B"/>
    <w:rsid w:val="4EEA4880"/>
    <w:rsid w:val="50615016"/>
    <w:rsid w:val="50CF01D2"/>
    <w:rsid w:val="51AB479B"/>
    <w:rsid w:val="52E71802"/>
    <w:rsid w:val="547075D6"/>
    <w:rsid w:val="587F428B"/>
    <w:rsid w:val="58ED7447"/>
    <w:rsid w:val="613B2F00"/>
    <w:rsid w:val="6ED24CBD"/>
    <w:rsid w:val="7003534A"/>
    <w:rsid w:val="701A68B3"/>
    <w:rsid w:val="733F48EB"/>
    <w:rsid w:val="73CD0149"/>
    <w:rsid w:val="75480A32"/>
    <w:rsid w:val="770C64FD"/>
    <w:rsid w:val="77D93560"/>
    <w:rsid w:val="796432FD"/>
    <w:rsid w:val="7C09018C"/>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74</Words>
  <Characters>74</Characters>
  <Lines>5</Lines>
  <Paragraphs>1</Paragraphs>
  <TotalTime>0</TotalTime>
  <ScaleCrop>false</ScaleCrop>
  <LinksUpToDate>false</LinksUpToDate>
  <CharactersWithSpaces>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2022-07-05T07:34:00Z</dcterms:created>
  <dc:creator>HBCY</dc:creator>
  <cp:lastModifiedBy>迅风扫秋叶尔</cp:lastModifiedBy>
  <dcterms:modified xsi:type="dcterms:W3CDTF">2025-10-10T06:16:48Z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B4F49CCA05BD4585BB28DBD53998C1B5_12</vt:lpwstr>
  </property>
  <property fmtid="{D5CDD505-2E9C-101B-9397-08002B2CF9AE}" pid="4" name="KSOTemplateDocerSaveRecord">
    <vt:lpwstr>eyJoZGlkIjoiOWQyYTJiOTkyM2ExNmRiNzExZjExMTRhMDkyNWMzYjQiLCJ1c2VySWQiOiI0OTg4NTQ1NDcifQ==</vt:lpwstr>
  </property>
</Properties>
</file>